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EF73" w14:textId="77777777" w:rsidR="0050726E" w:rsidRDefault="0050726E" w:rsidP="0018221C">
      <w:pPr>
        <w:tabs>
          <w:tab w:val="left" w:pos="2977"/>
        </w:tabs>
      </w:pPr>
    </w:p>
    <w:p w14:paraId="79240B01" w14:textId="77777777" w:rsidR="0000234C" w:rsidRPr="00A803F2" w:rsidRDefault="0000234C" w:rsidP="0018221C">
      <w:pPr>
        <w:tabs>
          <w:tab w:val="left" w:pos="2977"/>
        </w:tabs>
      </w:pPr>
    </w:p>
    <w:p w14:paraId="2BDACCB4" w14:textId="77777777" w:rsidR="00FD4A77" w:rsidRPr="00FD4A77" w:rsidRDefault="00FD4A77" w:rsidP="00FD4A77">
      <w:pPr>
        <w:pStyle w:val="Titre1"/>
        <w:jc w:val="center"/>
        <w:rPr>
          <w:color w:val="1C3E94"/>
          <w:sz w:val="52"/>
          <w:szCs w:val="52"/>
        </w:rPr>
      </w:pPr>
      <w:r w:rsidRPr="00FD4A77">
        <w:rPr>
          <w:color w:val="1C3E94"/>
          <w:sz w:val="52"/>
          <w:szCs w:val="52"/>
        </w:rPr>
        <w:t>Indicateurs discutés lors des ateliers autour de l’évaluation des plans d’action quinquennal</w:t>
      </w:r>
    </w:p>
    <w:p w14:paraId="58A3A2CD" w14:textId="77777777" w:rsidR="00FD4A77" w:rsidRDefault="00FD4A77" w:rsidP="00FD4A77"/>
    <w:p w14:paraId="3AD1BB04" w14:textId="77777777" w:rsidR="00FD4A77" w:rsidRPr="00FD4A77" w:rsidRDefault="00FD4A77" w:rsidP="00FD4A77"/>
    <w:p w14:paraId="03EBD83B" w14:textId="77777777" w:rsidR="00FD4A77" w:rsidRPr="00FD4A77" w:rsidRDefault="00FD4A77" w:rsidP="00FD4A77">
      <w:pPr>
        <w:pStyle w:val="Titre2"/>
        <w:jc w:val="center"/>
        <w:rPr>
          <w:color w:val="1C3E94"/>
          <w:sz w:val="36"/>
          <w:szCs w:val="36"/>
        </w:rPr>
      </w:pPr>
      <w:r w:rsidRPr="00FD4A77">
        <w:rPr>
          <w:color w:val="1C3E94"/>
          <w:sz w:val="36"/>
          <w:szCs w:val="36"/>
        </w:rPr>
        <w:t>Axe 3A – Les Permanences sociojuridiques</w:t>
      </w:r>
    </w:p>
    <w:p w14:paraId="39CBD181" w14:textId="32367ED7" w:rsidR="00FD4A77" w:rsidRDefault="00FD4A77" w:rsidP="00FD4A77">
      <w:pPr>
        <w:spacing w:beforeLines="120" w:before="288" w:afterLines="120" w:after="288"/>
        <w:jc w:val="both"/>
        <w:rPr>
          <w:i/>
          <w:iCs/>
        </w:rPr>
      </w:pPr>
      <w:r w:rsidRPr="00E121D6">
        <w:rPr>
          <w:i/>
          <w:iCs/>
        </w:rPr>
        <w:t xml:space="preserve">Les indicateurs ci-dessous correspondent aux propositions énoncées par les opérateurs lors de la séance du 3 février 2026. Cette liste est non exhaustive et uniquement indicative comme source d’inspiration. Nous vous conseillons de partir de votre plan d’action quinquennal et des données que vous récoltez déjà pour la gestion de votre projet. En cas d’incertitude entre la correspondance entre vos indicateurs choisis et les objectifs opérationnels et les objectifs prévus par le décret et l’arrêté d’exécution, nous vous conseillons également de débuter une conversation avec votre gestionnaire de dossiers. </w:t>
      </w:r>
    </w:p>
    <w:p w14:paraId="540D9A49" w14:textId="77777777" w:rsidR="00FD4A77" w:rsidRPr="00FD4A77" w:rsidRDefault="00FD4A77" w:rsidP="00FD4A77">
      <w:pPr>
        <w:spacing w:beforeLines="120" w:before="288" w:afterLines="120" w:after="288"/>
        <w:jc w:val="both"/>
        <w:rPr>
          <w:i/>
          <w:iCs/>
        </w:rPr>
      </w:pPr>
    </w:p>
    <w:p w14:paraId="5B3114A8" w14:textId="77777777" w:rsidR="00FD4A77" w:rsidRPr="00FD4A77" w:rsidRDefault="00FD4A77" w:rsidP="00FD4A77">
      <w:pPr>
        <w:pStyle w:val="Paragraphedeliste"/>
        <w:numPr>
          <w:ilvl w:val="0"/>
          <w:numId w:val="10"/>
        </w:numPr>
        <w:spacing w:beforeLines="120" w:before="288" w:after="120"/>
        <w:jc w:val="both"/>
        <w:rPr>
          <w:b/>
          <w:bCs/>
          <w:color w:val="1C3E94"/>
        </w:rPr>
      </w:pPr>
      <w:r w:rsidRPr="00FD4A77">
        <w:rPr>
          <w:b/>
          <w:bCs/>
          <w:color w:val="1C3E94"/>
        </w:rPr>
        <w:t>Taux de dossiers de nationalité acceptés par la commune</w:t>
      </w:r>
    </w:p>
    <w:p w14:paraId="04F26639" w14:textId="77777777" w:rsidR="00FD4A77" w:rsidRDefault="00FD4A77" w:rsidP="00FD4A77">
      <w:pPr>
        <w:spacing w:beforeLines="120" w:before="288" w:after="120"/>
        <w:jc w:val="both"/>
      </w:pPr>
      <w:r>
        <w:t>Cet indicateur permet de renseigner sur la proportion des dossiers de nationalité accompagnés par l’association qui ont été acceptés par la commune.</w:t>
      </w:r>
    </w:p>
    <w:p w14:paraId="62484F7A" w14:textId="77777777" w:rsidR="00FD4A77" w:rsidRDefault="00FD4A77" w:rsidP="00FD4A77">
      <w:pPr>
        <w:spacing w:beforeLines="120" w:before="288" w:after="120"/>
        <w:jc w:val="both"/>
        <w:rPr>
          <w:i/>
          <w:iCs/>
          <w:u w:val="single"/>
        </w:rPr>
      </w:pPr>
      <w:r w:rsidRPr="004C50F0">
        <w:rPr>
          <w:i/>
          <w:iCs/>
          <w:u w:val="single"/>
        </w:rPr>
        <w:t>Informations collectées / Méthodes de collecte des données</w:t>
      </w:r>
    </w:p>
    <w:p w14:paraId="0B1DF30F" w14:textId="77777777" w:rsidR="00FD4A77" w:rsidRDefault="00FD4A77" w:rsidP="00FD4A77">
      <w:pPr>
        <w:spacing w:beforeLines="120" w:before="288" w:after="120"/>
        <w:jc w:val="both"/>
      </w:pPr>
      <w:r>
        <w:t>Il s’agit d’une pratique déjà en place au sein de l’association : lors du premier contact, les personnes sont invitées à préciser leur motivation à fréquenter l’association. Ensuite, à la fin du processus d’accompagnement, l’association reprend contact avec elles afin de se renseigner sur l’acceptation ou non de leur dossier par la commune.</w:t>
      </w:r>
    </w:p>
    <w:p w14:paraId="170243F8" w14:textId="77777777" w:rsidR="00FD4A77" w:rsidRDefault="00FD4A77" w:rsidP="00FD4A77">
      <w:pPr>
        <w:spacing w:beforeLines="120" w:before="288" w:after="120"/>
        <w:jc w:val="both"/>
      </w:pPr>
      <w:r>
        <w:t>&gt;&gt;&gt; Point d’attention</w:t>
      </w:r>
    </w:p>
    <w:p w14:paraId="4CF63970" w14:textId="77777777" w:rsidR="00FD4A77" w:rsidRDefault="00FD4A77" w:rsidP="00FD4A77">
      <w:pPr>
        <w:spacing w:beforeLines="120" w:before="288" w:after="120"/>
        <w:jc w:val="both"/>
      </w:pPr>
      <w:r>
        <w:t>Le refus d’un dossier par la commune peut s’appuyer sur de multiples raisons, dont beaucoup ne sont pas liées à la qualité du travail associatif. Néanmoins, un taux important de dossiers acceptés peut être interprété non seulement comme un indicateur de résultat, mais également comme un indicateur de résilience. Il permet de mettre en évidence la capacité des associations à accompagner et soutenir les bénéficiaires jusqu’aux instances décisionnelles, et à contribuer positivement à l’acceptation des dossiers, malgré un contexte institutionnel complexe et changeant.</w:t>
      </w:r>
    </w:p>
    <w:p w14:paraId="1D066E4F" w14:textId="77777777" w:rsidR="00FD4A77" w:rsidRDefault="00FD4A77" w:rsidP="00FD4A77">
      <w:pPr>
        <w:spacing w:beforeLines="120" w:before="288" w:after="120"/>
        <w:jc w:val="both"/>
      </w:pPr>
      <w:r>
        <w:lastRenderedPageBreak/>
        <w:t>Cet indicateur peut être utilisé pour d’autres types de dossiers, comme les demandes d’équivalences de diplôme.</w:t>
      </w:r>
    </w:p>
    <w:p w14:paraId="1AC28067" w14:textId="77777777" w:rsidR="00FD4A77" w:rsidRPr="000539DB" w:rsidRDefault="00FD4A77" w:rsidP="00FD4A77">
      <w:pPr>
        <w:spacing w:beforeLines="120" w:before="288" w:after="120"/>
        <w:jc w:val="both"/>
      </w:pPr>
    </w:p>
    <w:p w14:paraId="32C4AFA2" w14:textId="77777777" w:rsidR="00FD4A77" w:rsidRPr="00FD4A77" w:rsidRDefault="00FD4A77" w:rsidP="00FD4A77">
      <w:pPr>
        <w:pStyle w:val="Paragraphedeliste"/>
        <w:numPr>
          <w:ilvl w:val="0"/>
          <w:numId w:val="10"/>
        </w:numPr>
        <w:spacing w:beforeLines="120" w:before="288" w:after="120"/>
        <w:jc w:val="both"/>
        <w:rPr>
          <w:b/>
          <w:bCs/>
          <w:color w:val="1C3E94"/>
        </w:rPr>
      </w:pPr>
      <w:r w:rsidRPr="00FD4A77">
        <w:rPr>
          <w:b/>
          <w:bCs/>
          <w:color w:val="1C3E94"/>
        </w:rPr>
        <w:t>Rayonnement de l’action de l’association</w:t>
      </w:r>
    </w:p>
    <w:p w14:paraId="3E92A6E1" w14:textId="77777777" w:rsidR="00FD4A77" w:rsidRPr="00842EFF" w:rsidRDefault="00FD4A77" w:rsidP="00FD4A77">
      <w:pPr>
        <w:spacing w:beforeLines="120" w:before="288" w:after="120"/>
        <w:jc w:val="both"/>
      </w:pPr>
      <w:r w:rsidRPr="00842EFF">
        <w:t>Cet indicateur permet d’évaluer la capacité de l’association à attirer son public. Le rayonnement de l’action associative ne se limite pas à sa visibilité, mais constitue un indicateur de légitimité, de confiance et d’ancrage territorial. La capacité d’une association à attirer des publics issus de différents quartiers et peut-être de diverses origines traduit sa reconnaissance par les bénéficiaires eux-mêmes, mais aussi par l’écosystème associatif et institutionnel dans lequel elle s’inscrit.</w:t>
      </w:r>
    </w:p>
    <w:p w14:paraId="1B18D517" w14:textId="77777777" w:rsidR="00FD4A77" w:rsidRPr="00842EFF" w:rsidRDefault="00FD4A77" w:rsidP="00FD4A77">
      <w:pPr>
        <w:spacing w:beforeLines="120" w:before="288" w:after="120"/>
        <w:jc w:val="both"/>
      </w:pPr>
      <w:r w:rsidRPr="00842EFF">
        <w:t>Le fait que des personnes arrivent à l’association par bouche-à-oreille ou sur orientation d’autres associations, services ou institutions indique que l’action est perçue comme pertinente, accessible et utile. Cet indicateur permet ainsi de rendre visible un travail souvent informel et peu quantifiable : la construction de relations de confiance durables avec les publics et les partenaires. Dans un contexte institutionnel instable ou contraignant, le rayonnement aussi peut également être interprété comme un indicateur de résilience. Malgré les obstacles structurels, l’association continue à être identifiée comme un repère, un espace-ressource et un point d’appui pour les personnes et les acteurs du territoire.</w:t>
      </w:r>
    </w:p>
    <w:p w14:paraId="22B3948C" w14:textId="77777777" w:rsidR="00FD4A77" w:rsidRPr="00842EFF" w:rsidRDefault="00FD4A77" w:rsidP="00FD4A77">
      <w:pPr>
        <w:spacing w:beforeLines="120" w:before="288" w:after="120"/>
        <w:jc w:val="both"/>
        <w:rPr>
          <w:i/>
          <w:iCs/>
          <w:u w:val="single"/>
        </w:rPr>
      </w:pPr>
      <w:r w:rsidRPr="00842EFF">
        <w:rPr>
          <w:i/>
          <w:iCs/>
          <w:u w:val="single"/>
        </w:rPr>
        <w:t>Informations collectées / Méthodes de collecte des données</w:t>
      </w:r>
    </w:p>
    <w:p w14:paraId="5E567362" w14:textId="77777777" w:rsidR="00FD4A77" w:rsidRDefault="00FD4A77" w:rsidP="00FD4A77">
      <w:pPr>
        <w:spacing w:beforeLines="120" w:before="288" w:after="120"/>
        <w:jc w:val="both"/>
      </w:pPr>
      <w:r w:rsidRPr="00842EFF">
        <w:t>L’association demande habituellement aux bénéficiaires comment ils ont connu l’association : par quel canal ils y sont arrivés, qui les a orientés ou recommandés (bouche-à-oreille, autre association, institution, etc.). Ces informations permettent d’identifier les sources de visibilité et de rayonnement de l’action associative.</w:t>
      </w:r>
    </w:p>
    <w:p w14:paraId="35955D1B" w14:textId="77777777" w:rsidR="00FD4A77" w:rsidRPr="00842EFF" w:rsidRDefault="00FD4A77" w:rsidP="00FD4A77">
      <w:pPr>
        <w:spacing w:beforeLines="120" w:before="288" w:after="120"/>
        <w:jc w:val="both"/>
        <w:rPr>
          <w:i/>
          <w:iCs/>
        </w:rPr>
      </w:pPr>
      <w:r w:rsidRPr="00842EFF">
        <w:rPr>
          <w:i/>
          <w:iCs/>
        </w:rPr>
        <w:t>Point</w:t>
      </w:r>
      <w:r>
        <w:rPr>
          <w:i/>
          <w:iCs/>
        </w:rPr>
        <w:t>s</w:t>
      </w:r>
      <w:r w:rsidRPr="00842EFF">
        <w:rPr>
          <w:i/>
          <w:iCs/>
        </w:rPr>
        <w:t xml:space="preserve"> d’attention</w:t>
      </w:r>
      <w:r>
        <w:rPr>
          <w:i/>
          <w:iCs/>
        </w:rPr>
        <w:t>s</w:t>
      </w:r>
      <w:r w:rsidRPr="00842EFF">
        <w:rPr>
          <w:i/>
          <w:iCs/>
        </w:rPr>
        <w:t> :</w:t>
      </w:r>
    </w:p>
    <w:p w14:paraId="3E219ADE" w14:textId="77777777" w:rsidR="00FD4A77" w:rsidRDefault="00FD4A77" w:rsidP="00FD4A77">
      <w:pPr>
        <w:spacing w:beforeLines="120" w:before="288" w:after="120"/>
        <w:jc w:val="both"/>
      </w:pPr>
      <w:r>
        <w:t xml:space="preserve">Cet indicateur démontre la capacité de l’association de s’appuyer sur d’autres associations, services ou institutions pour se faire connaître et attirer les publics. De ce fait, cet indicateur pourrait être considéré comme un indicateur de ressources. </w:t>
      </w:r>
    </w:p>
    <w:p w14:paraId="2A3F0A1F" w14:textId="77777777" w:rsidR="00FD4A77" w:rsidRPr="00842EFF" w:rsidRDefault="00FD4A77" w:rsidP="00FD4A77">
      <w:pPr>
        <w:spacing w:beforeLines="120" w:before="288" w:after="120"/>
        <w:jc w:val="both"/>
      </w:pPr>
      <w:r>
        <w:t>Cependant, c</w:t>
      </w:r>
      <w:r w:rsidRPr="00842EFF">
        <w:t xml:space="preserve">et indicateur </w:t>
      </w:r>
      <w:r>
        <w:t xml:space="preserve">pourrait également </w:t>
      </w:r>
      <w:r w:rsidRPr="00842EFF">
        <w:t>met</w:t>
      </w:r>
      <w:r>
        <w:t>tre</w:t>
      </w:r>
      <w:r w:rsidRPr="00842EFF">
        <w:t xml:space="preserve"> en lumière la contribution de l’association à la cohésion territoriale : en accueillant des publics diversifiés et en étant reconnue au-delà de son périmètre immédiat, elle participe à réduire les inégalités d’accès à l’information et aux droits, tout en renforçant les dynamiques de solidarité entre acteurs locaux.</w:t>
      </w:r>
      <w:r>
        <w:t xml:space="preserve"> De ce fait, cet indicateur pourrait être considéré comme un indicateur de résultats.</w:t>
      </w:r>
    </w:p>
    <w:p w14:paraId="4F740813" w14:textId="77777777" w:rsidR="00FD4A77" w:rsidRDefault="00FD4A77" w:rsidP="00FD4A77">
      <w:pPr>
        <w:spacing w:beforeLines="120" w:before="288" w:after="120"/>
        <w:jc w:val="both"/>
      </w:pPr>
    </w:p>
    <w:p w14:paraId="6A5FE3FD" w14:textId="77777777" w:rsidR="00FD4A77" w:rsidRDefault="00FD4A77" w:rsidP="00FD4A77">
      <w:pPr>
        <w:spacing w:beforeLines="120" w:before="288" w:after="120"/>
        <w:jc w:val="both"/>
      </w:pPr>
    </w:p>
    <w:p w14:paraId="34C84E44" w14:textId="77777777" w:rsidR="00FD4A77" w:rsidRDefault="00FD4A77" w:rsidP="00FD4A77">
      <w:pPr>
        <w:spacing w:beforeLines="120" w:before="288" w:after="120"/>
        <w:jc w:val="both"/>
      </w:pPr>
    </w:p>
    <w:p w14:paraId="31669F50" w14:textId="77777777" w:rsidR="00FD4A77" w:rsidRPr="00FD4A77" w:rsidRDefault="00FD4A77" w:rsidP="00FD4A77">
      <w:pPr>
        <w:pStyle w:val="Paragraphedeliste"/>
        <w:numPr>
          <w:ilvl w:val="0"/>
          <w:numId w:val="10"/>
        </w:numPr>
        <w:spacing w:beforeLines="120" w:before="288" w:after="120"/>
        <w:jc w:val="both"/>
        <w:rPr>
          <w:b/>
          <w:bCs/>
          <w:color w:val="1C3E94"/>
        </w:rPr>
      </w:pPr>
      <w:r w:rsidRPr="00FD4A77">
        <w:rPr>
          <w:b/>
          <w:bCs/>
          <w:color w:val="1C3E94"/>
        </w:rPr>
        <w:lastRenderedPageBreak/>
        <w:t>Accessibilité linguistique</w:t>
      </w:r>
    </w:p>
    <w:p w14:paraId="48FA94CE" w14:textId="77777777" w:rsidR="00FD4A77" w:rsidRDefault="00FD4A77" w:rsidP="00FD4A77">
      <w:pPr>
        <w:spacing w:beforeLines="120" w:before="288" w:after="120"/>
        <w:jc w:val="both"/>
      </w:pPr>
      <w:r>
        <w:t>Cet indicateur porte sur les langues dans lesquelles l’association est en mesure d’accueillir et d’accompagner les bénéficiaires. Il constitue également un indicateur de la diversité des profils rencontrés et de la capacité de l’action associative à s’adapter aux besoins linguistiques des publics.</w:t>
      </w:r>
      <w:r w:rsidRPr="00DE78B8">
        <w:t xml:space="preserve"> </w:t>
      </w:r>
      <w:r>
        <w:t>L’accessibilité linguistique constitue un levier central d’égalité d’accès aux droits. La capacité d’une association à accueillir et accompagner des bénéficiaires dans différentes langues permet de réduire les barrières linguistiques qui constituent, pour de nombreux publics, un frein majeur à l’accès à l’information, aux services et aux démarches administratives.</w:t>
      </w:r>
    </w:p>
    <w:p w14:paraId="502B8D62" w14:textId="77777777" w:rsidR="00FD4A77" w:rsidRDefault="00FD4A77" w:rsidP="00FD4A77">
      <w:pPr>
        <w:spacing w:beforeLines="120" w:before="288" w:after="120"/>
        <w:jc w:val="both"/>
      </w:pPr>
      <w:r>
        <w:t>Cet indicateur reflète un travail souvent invisible : la mobilisation de compétences internes, de ressources informelles ou de réseaux de soutien afin de garantir une compréhension mutuelle et un accompagnement de qualité. Dans un contexte institutionnel complexe, où les démarches administratives sont de plus en plus exigeantes sur le plan linguistique et procédural, l’accessibilité linguistique peut également être lue comme un indicateur de résilience et d’inclusion. Elle montre la capacité de l’association à maintenir un accueil effectif et digne, même lorsque les dispositifs institutionnels ne sont pas pleinement adaptés à la diversité linguistique des publics.</w:t>
      </w:r>
    </w:p>
    <w:p w14:paraId="31DBCDAE" w14:textId="77777777" w:rsidR="00FD4A77" w:rsidRDefault="00FD4A77" w:rsidP="00FD4A77">
      <w:pPr>
        <w:spacing w:beforeLines="120" w:before="288" w:after="120"/>
        <w:jc w:val="both"/>
        <w:rPr>
          <w:i/>
          <w:iCs/>
        </w:rPr>
      </w:pPr>
      <w:r w:rsidRPr="00DE78B8">
        <w:rPr>
          <w:i/>
          <w:iCs/>
        </w:rPr>
        <w:t>Informations collectées / Méthodes de collecte des données</w:t>
      </w:r>
    </w:p>
    <w:p w14:paraId="586E6753" w14:textId="77777777" w:rsidR="00FD4A77" w:rsidRDefault="00FD4A77" w:rsidP="00FD4A77">
      <w:pPr>
        <w:spacing w:beforeLines="120" w:before="288" w:after="120"/>
        <w:jc w:val="both"/>
      </w:pPr>
      <w:r>
        <w:t>Lors de l’entretien d’accueil, l’association demande habituellement aux bénéficiaires quelles langues ils et elles parlent. Cette information permet de mobiliser, lorsque cela est possible, des collègues maîtrisant ces langues ou d’activer des ressources adaptées (interprétariat, outils de traduction, supports multilingues) afin de faciliter l’accompagnement. Ensuite, l’association vérifie que la demande sollicitée a pu être traitée, malgré le fait que la personne ne parle que sa propre langue.</w:t>
      </w:r>
    </w:p>
    <w:p w14:paraId="2520D093" w14:textId="681F3AEF" w:rsidR="00A20352" w:rsidRPr="00714480" w:rsidRDefault="00A20352" w:rsidP="00714480"/>
    <w:sectPr w:rsidR="00A20352" w:rsidRPr="00714480" w:rsidSect="001379B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689B" w14:textId="77777777" w:rsidR="00FD4A77" w:rsidRDefault="00FD4A77" w:rsidP="00FB3757">
      <w:r>
        <w:separator/>
      </w:r>
    </w:p>
  </w:endnote>
  <w:endnote w:type="continuationSeparator" w:id="0">
    <w:p w14:paraId="5C30ABA7" w14:textId="77777777" w:rsidR="00FD4A77" w:rsidRDefault="00FD4A77" w:rsidP="00FB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BF05" w14:textId="77777777" w:rsidR="006E01C3" w:rsidRDefault="006E01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0716"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53EA8C6B" wp14:editId="6819D017">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rPr>
      <w:t>2</w:t>
    </w:r>
    <w:r w:rsidR="00AD6EE0">
      <w:rPr>
        <w:b/>
        <w:bCs/>
      </w:rPr>
      <w:fldChar w:fldCharType="end"/>
    </w:r>
    <w:r w:rsidR="00AD6EE0">
      <w:t xml:space="preserve"> / </w:t>
    </w:r>
    <w:r w:rsidR="00AD6EE0">
      <w:rPr>
        <w:b/>
        <w:bCs/>
      </w:rPr>
      <w:fldChar w:fldCharType="begin"/>
    </w:r>
    <w:r w:rsidR="00AD6EE0">
      <w:rPr>
        <w:b/>
        <w:bCs/>
      </w:rPr>
      <w:instrText>NUMPAGES  \* Arabic  \* MERGEFORMAT</w:instrText>
    </w:r>
    <w:r w:rsidR="00AD6EE0">
      <w:rPr>
        <w:b/>
        <w:bCs/>
      </w:rPr>
      <w:fldChar w:fldCharType="separate"/>
    </w:r>
    <w:r w:rsidR="00D5052F" w:rsidRPr="00D5052F">
      <w:rPr>
        <w:b/>
        <w:bCs/>
        <w:noProof/>
      </w:rPr>
      <w:t>1</w:t>
    </w:r>
    <w:r w:rsidR="00AD6EE0">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8DEA" w14:textId="77777777" w:rsidR="003452B7" w:rsidRDefault="00570660">
    <w:pPr>
      <w:pStyle w:val="Pieddepage"/>
    </w:pPr>
    <w:r>
      <w:rPr>
        <w:noProof/>
        <w:lang w:eastAsia="fr-BE"/>
      </w:rPr>
      <w:drawing>
        <wp:anchor distT="0" distB="0" distL="114300" distR="114300" simplePos="0" relativeHeight="251669504" behindDoc="1" locked="0" layoutInCell="1" allowOverlap="1" wp14:anchorId="30D6D433" wp14:editId="3C9768E4">
          <wp:simplePos x="0" y="0"/>
          <wp:positionH relativeFrom="page">
            <wp:posOffset>523877</wp:posOffset>
          </wp:positionH>
          <wp:positionV relativeFrom="page">
            <wp:posOffset>9829800</wp:posOffset>
          </wp:positionV>
          <wp:extent cx="6473015" cy="367199"/>
          <wp:effectExtent l="0" t="0" r="4445" b="0"/>
          <wp:wrapNone/>
          <wp:docPr id="13" name="Image 13"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Service de la cohésion sociale&#10;Commission communautaire française&#10;www.ccf.brussels&#10;Rue des palais 42&#10;1030 Bruxelles"/>
                  <pic:cNvPicPr/>
                </pic:nvPicPr>
                <pic:blipFill>
                  <a:blip r:embed="rId1">
                    <a:extLst>
                      <a:ext uri="{28A0092B-C50C-407E-A947-70E740481C1C}">
                        <a14:useLocalDpi xmlns:a14="http://schemas.microsoft.com/office/drawing/2010/main" val="0"/>
                      </a:ext>
                    </a:extLst>
                  </a:blip>
                  <a:stretch>
                    <a:fillRect/>
                  </a:stretch>
                </pic:blipFill>
                <pic:spPr>
                  <a:xfrm>
                    <a:off x="0" y="0"/>
                    <a:ext cx="6473015"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43AC9" w14:textId="77777777" w:rsidR="00FD4A77" w:rsidRDefault="00FD4A77" w:rsidP="00FB3757">
      <w:r>
        <w:separator/>
      </w:r>
    </w:p>
  </w:footnote>
  <w:footnote w:type="continuationSeparator" w:id="0">
    <w:p w14:paraId="6EE305F9" w14:textId="77777777" w:rsidR="00FD4A77" w:rsidRDefault="00FD4A77" w:rsidP="00FB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E060" w14:textId="77777777" w:rsidR="006E01C3" w:rsidRDefault="006E01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618B" w14:textId="77777777" w:rsidR="006E01C3" w:rsidRDefault="006E01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308F" w14:textId="77777777" w:rsidR="003452B7" w:rsidRDefault="00D741D0" w:rsidP="00A803F2">
    <w:pPr>
      <w:pStyle w:val="En-tte"/>
      <w:ind w:left="-567" w:right="-172"/>
    </w:pPr>
    <w:r>
      <w:rPr>
        <w:noProof/>
        <w:lang w:eastAsia="fr-BE"/>
      </w:rPr>
      <w:drawing>
        <wp:inline distT="0" distB="0" distL="0" distR="0" wp14:anchorId="4150FFC9" wp14:editId="5B719E68">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54A61CBE"/>
    <w:multiLevelType w:val="hybridMultilevel"/>
    <w:tmpl w:val="946C6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8484626">
    <w:abstractNumId w:val="0"/>
  </w:num>
  <w:num w:numId="2" w16cid:durableId="244464776">
    <w:abstractNumId w:val="0"/>
  </w:num>
  <w:num w:numId="3" w16cid:durableId="659042915">
    <w:abstractNumId w:val="0"/>
  </w:num>
  <w:num w:numId="4" w16cid:durableId="1619532925">
    <w:abstractNumId w:val="0"/>
  </w:num>
  <w:num w:numId="5" w16cid:durableId="1886066358">
    <w:abstractNumId w:val="0"/>
  </w:num>
  <w:num w:numId="6" w16cid:durableId="1478649664">
    <w:abstractNumId w:val="0"/>
  </w:num>
  <w:num w:numId="7" w16cid:durableId="1882740921">
    <w:abstractNumId w:val="0"/>
  </w:num>
  <w:num w:numId="8" w16cid:durableId="1158880694">
    <w:abstractNumId w:val="0"/>
  </w:num>
  <w:num w:numId="9" w16cid:durableId="42221860">
    <w:abstractNumId w:val="0"/>
  </w:num>
  <w:num w:numId="10" w16cid:durableId="2901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77"/>
    <w:rsid w:val="0000234C"/>
    <w:rsid w:val="000203FB"/>
    <w:rsid w:val="00023FBA"/>
    <w:rsid w:val="00082E6C"/>
    <w:rsid w:val="00094EC5"/>
    <w:rsid w:val="000A4106"/>
    <w:rsid w:val="000B30D4"/>
    <w:rsid w:val="000E7013"/>
    <w:rsid w:val="000F0973"/>
    <w:rsid w:val="00114859"/>
    <w:rsid w:val="001379B4"/>
    <w:rsid w:val="00143C58"/>
    <w:rsid w:val="001526F9"/>
    <w:rsid w:val="00163A83"/>
    <w:rsid w:val="0018221C"/>
    <w:rsid w:val="00182915"/>
    <w:rsid w:val="001973BD"/>
    <w:rsid w:val="001B30FC"/>
    <w:rsid w:val="001F3538"/>
    <w:rsid w:val="001F57FF"/>
    <w:rsid w:val="0020390E"/>
    <w:rsid w:val="00213CBE"/>
    <w:rsid w:val="002304D7"/>
    <w:rsid w:val="0024352A"/>
    <w:rsid w:val="00280443"/>
    <w:rsid w:val="00290AE9"/>
    <w:rsid w:val="002C233A"/>
    <w:rsid w:val="002E34AB"/>
    <w:rsid w:val="00301987"/>
    <w:rsid w:val="003452B7"/>
    <w:rsid w:val="00355E82"/>
    <w:rsid w:val="003C6E74"/>
    <w:rsid w:val="003C7EC0"/>
    <w:rsid w:val="003D7498"/>
    <w:rsid w:val="003E0475"/>
    <w:rsid w:val="003F2685"/>
    <w:rsid w:val="0046418A"/>
    <w:rsid w:val="004722FA"/>
    <w:rsid w:val="00474B8A"/>
    <w:rsid w:val="004B09B8"/>
    <w:rsid w:val="004B2B73"/>
    <w:rsid w:val="004B78D6"/>
    <w:rsid w:val="004D3C76"/>
    <w:rsid w:val="004F46B4"/>
    <w:rsid w:val="00502F6B"/>
    <w:rsid w:val="0050726E"/>
    <w:rsid w:val="00511C08"/>
    <w:rsid w:val="0053320C"/>
    <w:rsid w:val="0054088B"/>
    <w:rsid w:val="00553E46"/>
    <w:rsid w:val="005607C7"/>
    <w:rsid w:val="00570660"/>
    <w:rsid w:val="005B5445"/>
    <w:rsid w:val="005D49CE"/>
    <w:rsid w:val="00645E4A"/>
    <w:rsid w:val="006538BF"/>
    <w:rsid w:val="0066155E"/>
    <w:rsid w:val="00683810"/>
    <w:rsid w:val="006963DC"/>
    <w:rsid w:val="006C288C"/>
    <w:rsid w:val="006E01C3"/>
    <w:rsid w:val="0070375A"/>
    <w:rsid w:val="00714480"/>
    <w:rsid w:val="0072117C"/>
    <w:rsid w:val="00776126"/>
    <w:rsid w:val="007901EA"/>
    <w:rsid w:val="007A0E99"/>
    <w:rsid w:val="007A3696"/>
    <w:rsid w:val="007C759F"/>
    <w:rsid w:val="007C7D7D"/>
    <w:rsid w:val="007D2B13"/>
    <w:rsid w:val="008013E6"/>
    <w:rsid w:val="00803C11"/>
    <w:rsid w:val="00834368"/>
    <w:rsid w:val="00867ECB"/>
    <w:rsid w:val="00885F1F"/>
    <w:rsid w:val="0089453B"/>
    <w:rsid w:val="0089467D"/>
    <w:rsid w:val="008A6099"/>
    <w:rsid w:val="008D2608"/>
    <w:rsid w:val="008E3D6C"/>
    <w:rsid w:val="0091076D"/>
    <w:rsid w:val="009532C7"/>
    <w:rsid w:val="00955C06"/>
    <w:rsid w:val="00971BD0"/>
    <w:rsid w:val="009817EB"/>
    <w:rsid w:val="0098283D"/>
    <w:rsid w:val="00A20352"/>
    <w:rsid w:val="00A2609C"/>
    <w:rsid w:val="00A36BA7"/>
    <w:rsid w:val="00A4714F"/>
    <w:rsid w:val="00A803F2"/>
    <w:rsid w:val="00AA0A75"/>
    <w:rsid w:val="00AC5C75"/>
    <w:rsid w:val="00AD24ED"/>
    <w:rsid w:val="00AD6EE0"/>
    <w:rsid w:val="00B279C8"/>
    <w:rsid w:val="00B36389"/>
    <w:rsid w:val="00B95459"/>
    <w:rsid w:val="00BA708C"/>
    <w:rsid w:val="00BD4C34"/>
    <w:rsid w:val="00BE7707"/>
    <w:rsid w:val="00C117BB"/>
    <w:rsid w:val="00C34E46"/>
    <w:rsid w:val="00C66CD9"/>
    <w:rsid w:val="00CF6105"/>
    <w:rsid w:val="00D15D93"/>
    <w:rsid w:val="00D5052F"/>
    <w:rsid w:val="00D6134A"/>
    <w:rsid w:val="00D741D0"/>
    <w:rsid w:val="00D923DA"/>
    <w:rsid w:val="00DB43CF"/>
    <w:rsid w:val="00DC073B"/>
    <w:rsid w:val="00DD4422"/>
    <w:rsid w:val="00DE4142"/>
    <w:rsid w:val="00DF0ADB"/>
    <w:rsid w:val="00DF225D"/>
    <w:rsid w:val="00E4574E"/>
    <w:rsid w:val="00E96253"/>
    <w:rsid w:val="00ED5C6B"/>
    <w:rsid w:val="00F31282"/>
    <w:rsid w:val="00F36220"/>
    <w:rsid w:val="00F67562"/>
    <w:rsid w:val="00F70106"/>
    <w:rsid w:val="00F74229"/>
    <w:rsid w:val="00FB3757"/>
    <w:rsid w:val="00FB729B"/>
    <w:rsid w:val="00FD4A7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6ABDA"/>
  <w15:chartTrackingRefBased/>
  <w15:docId w15:val="{75623B08-CEAA-4560-8BFE-13AD8653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A77"/>
    <w:pPr>
      <w:spacing w:after="0" w:line="240" w:lineRule="auto"/>
    </w:pPr>
    <w:rPr>
      <w:sz w:val="24"/>
      <w:szCs w:val="24"/>
      <w:lang w:val="fr-FR"/>
    </w:rPr>
  </w:style>
  <w:style w:type="paragraph" w:styleId="Titre1">
    <w:name w:val="heading 1"/>
    <w:basedOn w:val="Normal"/>
    <w:next w:val="Normal"/>
    <w:link w:val="Titre1Car"/>
    <w:uiPriority w:val="9"/>
    <w:qFormat/>
    <w:rsid w:val="00213CBE"/>
    <w:pPr>
      <w:keepNext/>
      <w:keepLines/>
      <w:spacing w:before="24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outlineLvl w:val="2"/>
    </w:pPr>
    <w:rPr>
      <w:rFonts w:asciiTheme="majorHAnsi" w:eastAsiaTheme="majorEastAsia" w:hAnsiTheme="majorHAnsi" w:cstheme="majorBidi"/>
      <w:b/>
      <w:i/>
      <w:color w:val="0A00BE"/>
    </w:rPr>
  </w:style>
  <w:style w:type="paragraph" w:styleId="Titre4">
    <w:name w:val="heading 4"/>
    <w:basedOn w:val="Normal"/>
    <w:next w:val="Normal"/>
    <w:link w:val="Titre4Car"/>
    <w:uiPriority w:val="9"/>
    <w:unhideWhenUsed/>
    <w:qFormat/>
    <w:rsid w:val="00213CBE"/>
    <w:pPr>
      <w:keepNext/>
      <w:keepLines/>
      <w:spacing w:before="4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p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yssen\OneDrive%20-%20SPFB-COCOF\Bureau\Service%20de%20la%20coh&#233;sion%20social%20MAJ.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c8adb6-3622-4d41-a02f-49e3f1a99858" xsi:nil="true"/>
    <lcf76f155ced4ddcb4097134ff3c332f xmlns="fde0f8c2-5b38-43e6-9b75-4c8d5d4e7436">
      <Terms xmlns="http://schemas.microsoft.com/office/infopath/2007/PartnerControls"/>
    </lcf76f155ced4ddcb4097134ff3c332f>
    <Contact xmlns="fde0f8c2-5b38-43e6-9b75-4c8d5d4e7436"/>
    <Cat_x00e9_gorie xmlns="fde0f8c2-5b38-43e6-9b75-4c8d5d4e743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52AA6B1CD5494BB1154FD8CE60EABD" ma:contentTypeVersion="19" ma:contentTypeDescription="Crée un document." ma:contentTypeScope="" ma:versionID="6de7608e3828f066fb2dca9e9da2b253">
  <xsd:schema xmlns:xsd="http://www.w3.org/2001/XMLSchema" xmlns:xs="http://www.w3.org/2001/XMLSchema" xmlns:p="http://schemas.microsoft.com/office/2006/metadata/properties" xmlns:ns2="fde0f8c2-5b38-43e6-9b75-4c8d5d4e7436" xmlns:ns3="f3c8adb6-3622-4d41-a02f-49e3f1a99858" targetNamespace="http://schemas.microsoft.com/office/2006/metadata/properties" ma:root="true" ma:fieldsID="3bef8fe6a0141f32661a0af8a8160944" ns2:_="" ns3:_="">
    <xsd:import namespace="fde0f8c2-5b38-43e6-9b75-4c8d5d4e7436"/>
    <xsd:import namespace="f3c8adb6-3622-4d41-a02f-49e3f1a99858"/>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Cat_x00e9_gorie" minOccurs="0"/>
                <xsd:element ref="ns2: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0f8c2-5b38-43e6-9b75-4c8d5d4e7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3017c1c-8121-4850-b8c6-20700954a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at_x00e9_gorie" ma:index="25" nillable="true" ma:displayName="Catégorie" ma:format="Dropdown" ma:internalName="Cat_x00e9_gorie" ma:requiredMultiChoice="true">
      <xsd:complexType>
        <xsd:complexContent>
          <xsd:extension base="dms:MultiChoice">
            <xsd:sequence>
              <xsd:element name="Value" maxOccurs="unbounded" minOccurs="0" nillable="true">
                <xsd:simpleType>
                  <xsd:restriction base="dms:Choice">
                    <xsd:enumeration value="Métier"/>
                    <xsd:enumeration value="Organisation et Support"/>
                    <xsd:enumeration value="RH"/>
                    <xsd:enumeration value="IT"/>
                    <xsd:enumeration value="Autre"/>
                  </xsd:restriction>
                </xsd:simpleType>
              </xsd:element>
            </xsd:sequence>
          </xsd:extension>
        </xsd:complexContent>
      </xsd:complexType>
    </xsd:element>
    <xsd:element name="Contact" ma:index="26" ma:displayName="Contact" ma:description="&quot;Initiale + NOM en lettres capitales - Numéro extension de la personne&quot; vers qui se tourner pour plus d'informations" ma:format="Dropdown" ma:internalName="Conta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c8adb6-3622-4d41-a02f-49e3f1a9985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9556d980-f6fe-47fc-88ff-33d9c718c609}" ma:internalName="TaxCatchAll" ma:showField="CatchAllData" ma:web="f3c8adb6-3622-4d41-a02f-49e3f1a99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321BA-B78C-4936-9596-2807BC6CA563}">
  <ds:schemaRefs>
    <ds:schemaRef ds:uri="http://schemas.microsoft.com/office/2006/metadata/properties"/>
    <ds:schemaRef ds:uri="http://schemas.microsoft.com/office/infopath/2007/PartnerControls"/>
    <ds:schemaRef ds:uri="f3c8adb6-3622-4d41-a02f-49e3f1a99858"/>
    <ds:schemaRef ds:uri="fde0f8c2-5b38-43e6-9b75-4c8d5d4e7436"/>
  </ds:schemaRefs>
</ds:datastoreItem>
</file>

<file path=customXml/itemProps2.xml><?xml version="1.0" encoding="utf-8"?>
<ds:datastoreItem xmlns:ds="http://schemas.openxmlformats.org/officeDocument/2006/customXml" ds:itemID="{71CE1D0D-66AA-430C-AE92-A1993EEB572F}">
  <ds:schemaRefs>
    <ds:schemaRef ds:uri="http://schemas.microsoft.com/sharepoint/v3/contenttype/forms"/>
  </ds:schemaRefs>
</ds:datastoreItem>
</file>

<file path=customXml/itemProps3.xml><?xml version="1.0" encoding="utf-8"?>
<ds:datastoreItem xmlns:ds="http://schemas.openxmlformats.org/officeDocument/2006/customXml" ds:itemID="{D212725F-AECA-4211-AE01-8232F062E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0f8c2-5b38-43e6-9b75-4c8d5d4e7436"/>
    <ds:schemaRef ds:uri="f3c8adb6-3622-4d41-a02f-49e3f1a99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B6C71-5A22-45A2-B2CB-2F89CAE3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de la cohésion social MAJ.dotx</Template>
  <TotalTime>5</TotalTime>
  <Pages>3</Pages>
  <Words>980</Words>
  <Characters>5391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THYSSEN</dc:creator>
  <cp:keywords/>
  <dc:description/>
  <cp:lastModifiedBy>Sarah THYSSEN</cp:lastModifiedBy>
  <cp:revision>1</cp:revision>
  <cp:lastPrinted>2021-04-14T13:35:00Z</cp:lastPrinted>
  <dcterms:created xsi:type="dcterms:W3CDTF">2026-03-11T14:27:00Z</dcterms:created>
  <dcterms:modified xsi:type="dcterms:W3CDTF">2026-03-11T14:32:00Z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0x010100E852AA6B1CD5494BB1154FD8CE60EABD</vt:lpwstr>
  </property>
</Properties>
</file>