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1AC2" w14:textId="77777777" w:rsidR="0050726E" w:rsidRDefault="0050726E" w:rsidP="0018221C">
      <w:pPr>
        <w:tabs>
          <w:tab w:val="left" w:pos="2977"/>
        </w:tabs>
      </w:pPr>
    </w:p>
    <w:p w14:paraId="20C16284" w14:textId="77777777" w:rsidR="0000234C" w:rsidRPr="00A803F2" w:rsidRDefault="0000234C" w:rsidP="0018221C">
      <w:pPr>
        <w:tabs>
          <w:tab w:val="left" w:pos="2977"/>
        </w:tabs>
      </w:pPr>
    </w:p>
    <w:p w14:paraId="1EFB78E3" w14:textId="77777777" w:rsidR="0052067B" w:rsidRPr="00FE6F3F" w:rsidRDefault="0052067B" w:rsidP="0052067B">
      <w:pPr>
        <w:pStyle w:val="Titre"/>
        <w:spacing w:beforeLines="120" w:before="288" w:afterLines="120" w:after="288"/>
        <w:ind w:left="720"/>
        <w:jc w:val="center"/>
        <w:rPr>
          <w:color w:val="1C3E94"/>
        </w:rPr>
      </w:pPr>
      <w:r w:rsidRPr="00FE6F3F">
        <w:rPr>
          <w:color w:val="1C3E94"/>
        </w:rPr>
        <w:t>Évaluation P</w:t>
      </w:r>
      <w:r>
        <w:rPr>
          <w:color w:val="1C3E94"/>
        </w:rPr>
        <w:t xml:space="preserve">lan d’Action </w:t>
      </w:r>
      <w:r w:rsidRPr="00FE6F3F">
        <w:rPr>
          <w:color w:val="1C3E94"/>
        </w:rPr>
        <w:t>Q</w:t>
      </w:r>
      <w:r>
        <w:rPr>
          <w:color w:val="1C3E94"/>
        </w:rPr>
        <w:t>uinquennal</w:t>
      </w:r>
    </w:p>
    <w:p w14:paraId="3F318DB9" w14:textId="6CA20D2E" w:rsidR="00FE6F3F" w:rsidRDefault="00FE6F3F" w:rsidP="0052067B">
      <w:pPr>
        <w:pStyle w:val="Titre"/>
        <w:spacing w:beforeLines="120" w:before="288" w:afterLines="120" w:after="288"/>
        <w:ind w:left="720"/>
        <w:jc w:val="center"/>
        <w:rPr>
          <w:color w:val="1C3E94"/>
        </w:rPr>
      </w:pPr>
      <w:r w:rsidRPr="00FE6F3F">
        <w:rPr>
          <w:color w:val="1C3E94"/>
        </w:rPr>
        <w:t>Questions &amp; Réponses</w:t>
      </w:r>
    </w:p>
    <w:p w14:paraId="030C1A51" w14:textId="79B4F678" w:rsidR="0052067B" w:rsidRPr="0052067B" w:rsidRDefault="0052067B" w:rsidP="0052067B">
      <w:r>
        <w:tab/>
      </w:r>
      <w:r>
        <w:tab/>
      </w:r>
      <w:r>
        <w:tab/>
      </w:r>
      <w:r>
        <w:tab/>
      </w:r>
      <w:r>
        <w:tab/>
      </w:r>
      <w:r>
        <w:tab/>
        <w:t>Ateliers de janvier et février 2026</w:t>
      </w:r>
    </w:p>
    <w:p w14:paraId="6B16C3CE" w14:textId="77777777" w:rsidR="00FE6F3F" w:rsidRDefault="00FE6F3F" w:rsidP="00FE6F3F">
      <w:pPr>
        <w:pStyle w:val="Titre2"/>
      </w:pPr>
    </w:p>
    <w:p w14:paraId="63629F42" w14:textId="77777777" w:rsidR="00FE6F3F" w:rsidRPr="00FE6F3F" w:rsidRDefault="00FE6F3F" w:rsidP="00FE6F3F">
      <w:pPr>
        <w:pStyle w:val="Titre2"/>
        <w:rPr>
          <w:i/>
          <w:iCs/>
          <w:color w:val="1C3E94"/>
        </w:rPr>
      </w:pPr>
      <w:r w:rsidRPr="00FE6F3F">
        <w:rPr>
          <w:i/>
          <w:iCs/>
          <w:color w:val="1C3E94"/>
        </w:rPr>
        <w:t>Objectif du document / exigences COCOF</w:t>
      </w:r>
    </w:p>
    <w:p w14:paraId="598496B2" w14:textId="77777777" w:rsidR="00FE6F3F" w:rsidRPr="00DF7077" w:rsidRDefault="00FE6F3F" w:rsidP="00FE6F3F">
      <w:pPr>
        <w:pStyle w:val="Paragraphedeliste"/>
        <w:numPr>
          <w:ilvl w:val="0"/>
          <w:numId w:val="11"/>
        </w:numPr>
        <w:spacing w:before="120" w:after="120"/>
        <w:jc w:val="both"/>
        <w:rPr>
          <w:b/>
          <w:bCs/>
        </w:rPr>
      </w:pPr>
      <w:r w:rsidRPr="00DF7077">
        <w:rPr>
          <w:b/>
          <w:bCs/>
        </w:rPr>
        <w:t>Quel est l’objectif de ce document (notamment le formulaire d’évaluation du plan d’action quinquennal) ? S’agit-il d’un instrument de contrôle ou d’un outil de réflexion sur les actions menées ?</w:t>
      </w:r>
    </w:p>
    <w:p w14:paraId="4E95FDD5" w14:textId="77777777" w:rsidR="00FE6F3F" w:rsidRPr="00DF7077" w:rsidRDefault="00FE6F3F" w:rsidP="00FE6F3F">
      <w:pPr>
        <w:jc w:val="both"/>
        <w:rPr>
          <w:rFonts w:cstheme="minorHAnsi"/>
        </w:rPr>
      </w:pPr>
    </w:p>
    <w:p w14:paraId="6B37C60B" w14:textId="77777777" w:rsidR="00FE6F3F" w:rsidRPr="00DF7077" w:rsidRDefault="00FE6F3F" w:rsidP="00FE6F3F">
      <w:pPr>
        <w:jc w:val="both"/>
        <w:rPr>
          <w:rFonts w:cstheme="minorHAnsi"/>
        </w:rPr>
      </w:pPr>
      <w:r w:rsidRPr="00DF7077">
        <w:rPr>
          <w:rFonts w:cstheme="minorHAnsi"/>
        </w:rPr>
        <w:t xml:space="preserve">Cette évaluation répond à un double objectif : </w:t>
      </w:r>
    </w:p>
    <w:p w14:paraId="55B582E4" w14:textId="77777777" w:rsidR="00FE6F3F" w:rsidRPr="00DF7077" w:rsidRDefault="00FE6F3F" w:rsidP="00FE6F3F">
      <w:pPr>
        <w:pStyle w:val="Paragraphedeliste"/>
        <w:numPr>
          <w:ilvl w:val="0"/>
          <w:numId w:val="14"/>
        </w:numPr>
        <w:jc w:val="both"/>
        <w:rPr>
          <w:rFonts w:cstheme="minorHAnsi"/>
        </w:rPr>
      </w:pPr>
      <w:r w:rsidRPr="00DF7077">
        <w:rPr>
          <w:rFonts w:cstheme="minorHAnsi"/>
        </w:rPr>
        <w:t>Répondre à l’exigence de l’Arrêté d’exécution du Décret relatif à la Cohésion sociale (réalisation d’un plan quinquennal et son actualisation, art.27-30)</w:t>
      </w:r>
    </w:p>
    <w:p w14:paraId="2F6B3813" w14:textId="77777777" w:rsidR="00FE6F3F" w:rsidRPr="00DF7077" w:rsidRDefault="00FE6F3F" w:rsidP="00FE6F3F">
      <w:pPr>
        <w:pStyle w:val="Paragraphedeliste"/>
        <w:numPr>
          <w:ilvl w:val="0"/>
          <w:numId w:val="14"/>
        </w:numPr>
        <w:jc w:val="both"/>
        <w:rPr>
          <w:rFonts w:cstheme="minorHAnsi"/>
        </w:rPr>
      </w:pPr>
      <w:r w:rsidRPr="00DF7077">
        <w:rPr>
          <w:rFonts w:cstheme="minorHAnsi"/>
        </w:rPr>
        <w:t>Permettre une réflexion globale sur son plan quinquennal et les objectifs fixés en vue de rédiger une nouvelle version dans le cadre du renouvellement de l’agrément (art. 44).</w:t>
      </w:r>
    </w:p>
    <w:p w14:paraId="3F53032D" w14:textId="77777777" w:rsidR="00FE6F3F" w:rsidRPr="00DF7077" w:rsidRDefault="00FE6F3F" w:rsidP="00FE6F3F">
      <w:pPr>
        <w:spacing w:beforeLines="120" w:before="288" w:afterLines="120" w:after="288"/>
        <w:jc w:val="both"/>
        <w:rPr>
          <w:lang w:val="fr-BE"/>
        </w:rPr>
      </w:pPr>
      <w:r w:rsidRPr="00DF7077">
        <w:rPr>
          <w:lang w:val="fr-BE"/>
        </w:rPr>
        <w:t>Il s’agit d’un document formel, requis par la COCOF, inscrit dans le calendrier des agréments et intégré au processus d’autoévaluation qui précède le dépôt de la demande de renouvellement d’agrément (premier semestre 2028). À ce titre, il permet à la COCOF d’obtenir une vision du projet à un moment intermédiaire de sa mise en œuvre</w:t>
      </w:r>
      <w:r>
        <w:rPr>
          <w:lang w:val="fr-BE"/>
        </w:rPr>
        <w:t xml:space="preserve"> </w:t>
      </w:r>
      <w:r w:rsidRPr="00DF7077">
        <w:rPr>
          <w:rFonts w:eastAsiaTheme="minorEastAsia"/>
          <w:lang w:val="fr-BE"/>
        </w:rPr>
        <w:t>et si besoin permettra un suivi plus rapproché du gestionnaire de la COCOF et de la coordination locale, le cas échéant, avant le renouvellement de l’agrément.</w:t>
      </w:r>
    </w:p>
    <w:p w14:paraId="6EAD99C1" w14:textId="77777777" w:rsidR="00FE6F3F" w:rsidRPr="00DF7077" w:rsidRDefault="00FE6F3F" w:rsidP="00FE6F3F">
      <w:pPr>
        <w:spacing w:beforeLines="120" w:before="288" w:afterLines="120" w:after="288"/>
        <w:jc w:val="both"/>
        <w:rPr>
          <w:lang w:val="fr-BE"/>
        </w:rPr>
      </w:pPr>
      <w:r w:rsidRPr="00DF7077">
        <w:t xml:space="preserve">Parallèlement, ce document constitue également une opportunité pour l’association de porter un regard sur le projet agréé, à mi-parcours de l’agrément. Il invite à s’interroger sur </w:t>
      </w:r>
      <w:r w:rsidRPr="00DF7077">
        <w:rPr>
          <w:lang w:val="fr-BE"/>
        </w:rPr>
        <w:t>les difficultés rencontrées, sur les contraintes contextuelles qui influencent le projet, ainsi que sur l’impact d’un contexte institutionnel en constante évolution. Dans cette perspective, le document représente aussi une ressource pour signaler les difficultés que le contexte actuel est susceptible de générer, ou qu’il génère déjà. En outre, il permet de valoriser les pratiques d’autoévaluation déjà mises en œuvre par l’association, de systématiser les informations dont elle dispose en matière d’évaluation de ses propres projets, et de mettre en perspective le projet actuel avec celui décrit dans le plan d’action de 2023. Des évolutions significatives ont en effet pu intervenir : certains indicateurs définis à l’époque peuvent ne plus être pleinement pertinents aujourd’hui.</w:t>
      </w:r>
    </w:p>
    <w:p w14:paraId="14F07B19" w14:textId="77777777" w:rsidR="00FE6F3F" w:rsidRPr="00221B03" w:rsidRDefault="00FE6F3F" w:rsidP="00FE6F3F">
      <w:pPr>
        <w:spacing w:beforeLines="120" w:before="288" w:afterLines="120" w:after="288"/>
        <w:jc w:val="both"/>
        <w:rPr>
          <w:lang w:val="fr-BE"/>
        </w:rPr>
      </w:pPr>
      <w:r w:rsidRPr="3B417002">
        <w:rPr>
          <w:lang w:val="fr-BE"/>
        </w:rPr>
        <w:t>Les rencontres associatives organisées entre janvier et février 2026 s’inscrivent précisément dans cette démarche de réflexion et d</w:t>
      </w:r>
      <w:proofErr w:type="gramStart"/>
      <w:r w:rsidRPr="3B417002">
        <w:rPr>
          <w:lang w:val="fr-BE"/>
        </w:rPr>
        <w:t>’«approche</w:t>
      </w:r>
      <w:proofErr w:type="gramEnd"/>
      <w:r w:rsidRPr="3B417002">
        <w:rPr>
          <w:lang w:val="fr-BE"/>
        </w:rPr>
        <w:t xml:space="preserve"> critique », avec l’objectif d’accompagner et de guider les associations afin qu’elles puissent utiliser ce document à leur propre avantage, comme un véritable outil de réflexion continu et de valorisation des pratiques déjà existantes.</w:t>
      </w:r>
    </w:p>
    <w:p w14:paraId="68AF3CD4" w14:textId="77777777" w:rsidR="00FE6F3F" w:rsidRPr="00C4150C" w:rsidRDefault="00FE6F3F" w:rsidP="00FE6F3F">
      <w:pPr>
        <w:pStyle w:val="Paragraphedeliste"/>
        <w:numPr>
          <w:ilvl w:val="0"/>
          <w:numId w:val="10"/>
        </w:numPr>
        <w:spacing w:beforeLines="120" w:before="288" w:afterLines="120" w:after="288"/>
        <w:jc w:val="both"/>
        <w:rPr>
          <w:b/>
          <w:bCs/>
        </w:rPr>
      </w:pPr>
      <w:r w:rsidRPr="00C4150C">
        <w:rPr>
          <w:b/>
          <w:bCs/>
        </w:rPr>
        <w:lastRenderedPageBreak/>
        <w:t>Est-ce qu’il y aura besoin d’un indicateur pour les Orientations Spécifiques (OS) ?</w:t>
      </w:r>
    </w:p>
    <w:p w14:paraId="25BD8D8C" w14:textId="77777777" w:rsidR="00FE6F3F" w:rsidRDefault="00FE6F3F" w:rsidP="00FE6F3F">
      <w:pPr>
        <w:spacing w:beforeLines="120" w:before="288" w:afterLines="120" w:after="288"/>
        <w:jc w:val="both"/>
      </w:pPr>
      <w:r>
        <w:t>Non. Il y a déjà le rapport pour les OS.</w:t>
      </w:r>
    </w:p>
    <w:p w14:paraId="73EC095A" w14:textId="77777777" w:rsidR="00FE6F3F" w:rsidRPr="00DF7077" w:rsidRDefault="00FE6F3F" w:rsidP="00FE6F3F">
      <w:pPr>
        <w:pStyle w:val="Paragraphedeliste"/>
        <w:numPr>
          <w:ilvl w:val="0"/>
          <w:numId w:val="10"/>
        </w:numPr>
        <w:spacing w:beforeLines="120" w:before="288" w:afterLines="120" w:after="288"/>
        <w:jc w:val="both"/>
      </w:pPr>
      <w:r w:rsidRPr="3B417002">
        <w:rPr>
          <w:b/>
          <w:bCs/>
        </w:rPr>
        <w:t xml:space="preserve">Est-ce que le document d’évaluation du Plan d’Action Quinquennal (PAQ) remplace </w:t>
      </w:r>
      <w:r w:rsidRPr="00DF7077">
        <w:rPr>
          <w:b/>
          <w:bCs/>
        </w:rPr>
        <w:t>le Plan d’action quinquennal (PAQ) à remettre avec la demande de renouvellement en 2028 ?</w:t>
      </w:r>
    </w:p>
    <w:p w14:paraId="412FA533" w14:textId="77777777" w:rsidR="00FE6F3F" w:rsidRDefault="00FE6F3F" w:rsidP="00FE6F3F">
      <w:pPr>
        <w:spacing w:beforeLines="120" w:before="288" w:afterLines="120" w:after="288"/>
        <w:jc w:val="both"/>
      </w:pPr>
      <w:r>
        <w:t>Non. L’exercice d’évaluation du PAQ (qui ne concerne que certaines parties de celui-ci) vise à préparer les associations pour l’introduction de leur nouveau PAQ lors de l’introduction de leur demande de renouvellement.</w:t>
      </w:r>
    </w:p>
    <w:p w14:paraId="5BE177C2" w14:textId="77777777" w:rsidR="00FE6F3F" w:rsidRPr="00FE6F3F" w:rsidRDefault="00FE6F3F" w:rsidP="00FE6F3F">
      <w:pPr>
        <w:pStyle w:val="Titre2"/>
        <w:rPr>
          <w:color w:val="1C3E94"/>
          <w:lang w:val="fr-BE"/>
        </w:rPr>
      </w:pPr>
      <w:r w:rsidRPr="00FE6F3F">
        <w:rPr>
          <w:color w:val="1C3E94"/>
          <w:lang w:val="fr-BE"/>
        </w:rPr>
        <w:t>Indicateurs</w:t>
      </w:r>
    </w:p>
    <w:p w14:paraId="73BC2C55" w14:textId="77777777" w:rsidR="00FE6F3F" w:rsidRDefault="00FE6F3F" w:rsidP="00FE6F3F">
      <w:pPr>
        <w:pStyle w:val="Paragraphedeliste"/>
        <w:numPr>
          <w:ilvl w:val="0"/>
          <w:numId w:val="11"/>
        </w:numPr>
        <w:spacing w:beforeLines="120" w:before="288" w:afterLines="120" w:after="288"/>
        <w:jc w:val="both"/>
        <w:rPr>
          <w:b/>
          <w:bCs/>
          <w:lang w:val="fr-BE"/>
        </w:rPr>
      </w:pPr>
      <w:r w:rsidRPr="3B417002">
        <w:rPr>
          <w:b/>
          <w:bCs/>
          <w:lang w:val="fr-BE"/>
        </w:rPr>
        <w:t>Est-ce qu’un indicateur peut se baser sur une étude de cas qui relève d’une situation individuelle ou un récit ?</w:t>
      </w:r>
    </w:p>
    <w:p w14:paraId="14FDB770" w14:textId="77777777" w:rsidR="00FE6F3F" w:rsidRPr="00221B03" w:rsidRDefault="00FE6F3F" w:rsidP="00FE6F3F">
      <w:pPr>
        <w:spacing w:beforeLines="120" w:before="288" w:afterLines="120" w:after="288"/>
        <w:jc w:val="both"/>
        <w:rPr>
          <w:lang w:val="fr-BE"/>
        </w:rPr>
      </w:pPr>
      <w:r w:rsidRPr="00221B03">
        <w:rPr>
          <w:lang w:val="fr-BE"/>
        </w:rPr>
        <w:t xml:space="preserve">Non, un indicateur doit permettre d’avoir une vision globale et générale de l’impact sur les bénéficiaires </w:t>
      </w:r>
      <w:proofErr w:type="spellStart"/>
      <w:r w:rsidRPr="00221B03">
        <w:rPr>
          <w:lang w:val="fr-BE"/>
        </w:rPr>
        <w:t>participant·es</w:t>
      </w:r>
      <w:proofErr w:type="spellEnd"/>
      <w:r w:rsidRPr="00221B03">
        <w:rPr>
          <w:lang w:val="fr-BE"/>
        </w:rPr>
        <w:t xml:space="preserve"> aux activités, ou sur un échantillon. Il doit donc s’appuyer sur plusieurs sources et refléter la voix (s’il s’agit de données qualitatives) de plusieurs personnes interrogées. Si le récit ou l’étude de cas est la méthode privilégiée par l’association, celle-ci peut bien entendu s’appuyer sur </w:t>
      </w:r>
      <w:r w:rsidRPr="00221B03">
        <w:rPr>
          <w:b/>
          <w:bCs/>
          <w:lang w:val="fr-BE"/>
        </w:rPr>
        <w:t>plusieurs études de cas</w:t>
      </w:r>
      <w:r w:rsidRPr="00221B03">
        <w:rPr>
          <w:lang w:val="fr-BE"/>
        </w:rPr>
        <w:t xml:space="preserve"> et non seulement une.</w:t>
      </w:r>
    </w:p>
    <w:p w14:paraId="6472EF38" w14:textId="77777777" w:rsidR="00FE6F3F" w:rsidRDefault="00FE6F3F" w:rsidP="00FE6F3F">
      <w:pPr>
        <w:spacing w:beforeLines="120" w:before="288" w:afterLines="120" w:after="288"/>
        <w:jc w:val="both"/>
        <w:rPr>
          <w:lang w:val="fr-BE"/>
        </w:rPr>
      </w:pPr>
      <w:r w:rsidRPr="00221B03">
        <w:rPr>
          <w:lang w:val="fr-BE"/>
        </w:rPr>
        <w:t>La COCOF a précisé que, si une étude de cas est particulièrement représentative pour analyser les impacts, l’association peut la joindre en annexe.</w:t>
      </w:r>
    </w:p>
    <w:p w14:paraId="285025A4" w14:textId="77777777" w:rsidR="00FE6F3F" w:rsidRPr="00221B03" w:rsidRDefault="00FE6F3F" w:rsidP="00FE6F3F">
      <w:pPr>
        <w:pStyle w:val="Paragraphedeliste"/>
        <w:numPr>
          <w:ilvl w:val="0"/>
          <w:numId w:val="11"/>
        </w:numPr>
        <w:spacing w:beforeLines="120" w:before="288" w:afterLines="120" w:after="288"/>
        <w:jc w:val="both"/>
        <w:rPr>
          <w:b/>
          <w:bCs/>
        </w:rPr>
      </w:pPr>
      <w:r w:rsidRPr="00221B03">
        <w:rPr>
          <w:b/>
          <w:bCs/>
        </w:rPr>
        <w:t>Les indicateurs choisis et renseignés dans l’évaluation du plan d’action doivent-ils être qualitatifs ou quantitatifs ?</w:t>
      </w:r>
    </w:p>
    <w:p w14:paraId="25C0C671" w14:textId="77777777" w:rsidR="00FE6F3F" w:rsidRPr="00221B03" w:rsidRDefault="00FE6F3F" w:rsidP="00FE6F3F">
      <w:pPr>
        <w:spacing w:beforeLines="120" w:before="288" w:afterLines="120" w:after="288"/>
        <w:jc w:val="both"/>
        <w:rPr>
          <w:lang w:val="fr-BE"/>
        </w:rPr>
      </w:pPr>
      <w:r w:rsidRPr="00221B03">
        <w:rPr>
          <w:lang w:val="fr-BE"/>
        </w:rPr>
        <w:t>Chaque association définit librement ses propres indicateurs. L’association peut ainsi choisir de renseigner exclusivement des indicateurs qualitatifs, exclusivement des indicateurs quantitatifs, ou de proposer les deux typologies d’indicateurs.</w:t>
      </w:r>
    </w:p>
    <w:p w14:paraId="6F89A9ED" w14:textId="77777777" w:rsidR="00FE6F3F" w:rsidRPr="00221B03" w:rsidRDefault="00FE6F3F" w:rsidP="00FE6F3F">
      <w:pPr>
        <w:spacing w:beforeLines="120" w:before="288" w:afterLines="120" w:after="288"/>
        <w:jc w:val="both"/>
        <w:rPr>
          <w:lang w:val="fr-BE"/>
        </w:rPr>
      </w:pPr>
      <w:r w:rsidRPr="00221B03">
        <w:rPr>
          <w:lang w:val="fr-BE"/>
        </w:rPr>
        <w:t>Il n’existe aucune obligation de privilégier un type d’indicateurs plutôt qu’un autre. Ce choix relève pleinement de l’association et doit être effectué au regard de son action, de ses pratiques d’autoévaluation déjà existantes, ainsi que des informations et données dont elle dispose.</w:t>
      </w:r>
    </w:p>
    <w:p w14:paraId="0F48D0E0" w14:textId="77777777" w:rsidR="00FE6F3F" w:rsidRPr="00221B03" w:rsidRDefault="00FE6F3F" w:rsidP="00FE6F3F">
      <w:pPr>
        <w:pStyle w:val="Paragraphedeliste"/>
        <w:numPr>
          <w:ilvl w:val="0"/>
          <w:numId w:val="11"/>
        </w:numPr>
        <w:spacing w:before="120" w:after="120"/>
        <w:jc w:val="both"/>
        <w:rPr>
          <w:b/>
          <w:bCs/>
        </w:rPr>
      </w:pPr>
      <w:r w:rsidRPr="00221B03">
        <w:rPr>
          <w:b/>
          <w:bCs/>
        </w:rPr>
        <w:t>Si les indicateurs que l’association a choisis dans son plan d’action en 2023 ne sont plus d’actualité, ne sont plus pertinents ou ne sont plus en mesure de refléter la réalité du terrain, l’association est-elle malgré tout obligée de s’y référer ?</w:t>
      </w:r>
    </w:p>
    <w:p w14:paraId="7781EAE0" w14:textId="77777777" w:rsidR="00FE6F3F" w:rsidRDefault="00FE6F3F" w:rsidP="00FE6F3F">
      <w:pPr>
        <w:spacing w:beforeLines="120" w:before="288" w:afterLines="120" w:after="288"/>
        <w:jc w:val="both"/>
        <w:rPr>
          <w:lang w:val="fr-BE"/>
        </w:rPr>
      </w:pPr>
      <w:r w:rsidRPr="00221B03">
        <w:rPr>
          <w:lang w:val="fr-BE"/>
        </w:rPr>
        <w:t xml:space="preserve">Non, l’association peut tout à fait choisir de se référer à d’autres indicateurs, plus pertinents et davantage en phase avec la réalité du terrain. Il est important de savoir </w:t>
      </w:r>
      <w:r w:rsidRPr="00661CBB">
        <w:rPr>
          <w:i/>
          <w:iCs/>
          <w:lang w:val="fr-BE"/>
        </w:rPr>
        <w:t>pourquoi</w:t>
      </w:r>
      <w:r w:rsidRPr="00221B03">
        <w:rPr>
          <w:lang w:val="fr-BE"/>
        </w:rPr>
        <w:t xml:space="preserve"> ces indicateurs établis dans l</w:t>
      </w:r>
      <w:r>
        <w:rPr>
          <w:lang w:val="fr-BE"/>
        </w:rPr>
        <w:t>e</w:t>
      </w:r>
      <w:r w:rsidRPr="00221B03">
        <w:rPr>
          <w:lang w:val="fr-BE"/>
        </w:rPr>
        <w:t xml:space="preserve"> PAQ en 2023 ne sont plus d’actualité : </w:t>
      </w:r>
      <w:r>
        <w:rPr>
          <w:lang w:val="fr-BE"/>
        </w:rPr>
        <w:t xml:space="preserve">est-ce qu’il y a eu un </w:t>
      </w:r>
      <w:r w:rsidRPr="00221B03">
        <w:rPr>
          <w:lang w:val="fr-BE"/>
        </w:rPr>
        <w:t xml:space="preserve">changement </w:t>
      </w:r>
      <w:r>
        <w:rPr>
          <w:lang w:val="fr-BE"/>
        </w:rPr>
        <w:t xml:space="preserve">important </w:t>
      </w:r>
      <w:r w:rsidRPr="00221B03">
        <w:rPr>
          <w:lang w:val="fr-BE"/>
        </w:rPr>
        <w:t>d</w:t>
      </w:r>
      <w:r>
        <w:rPr>
          <w:lang w:val="fr-BE"/>
        </w:rPr>
        <w:t>ans le</w:t>
      </w:r>
      <w:r w:rsidRPr="00221B03">
        <w:rPr>
          <w:lang w:val="fr-BE"/>
        </w:rPr>
        <w:t xml:space="preserve"> projet, </w:t>
      </w:r>
      <w:r>
        <w:rPr>
          <w:lang w:val="fr-BE"/>
        </w:rPr>
        <w:t xml:space="preserve">un </w:t>
      </w:r>
      <w:r w:rsidRPr="00221B03">
        <w:rPr>
          <w:lang w:val="fr-BE"/>
        </w:rPr>
        <w:t>changement d</w:t>
      </w:r>
      <w:r>
        <w:rPr>
          <w:lang w:val="fr-BE"/>
        </w:rPr>
        <w:t>e</w:t>
      </w:r>
      <w:r w:rsidRPr="00221B03">
        <w:rPr>
          <w:lang w:val="fr-BE"/>
        </w:rPr>
        <w:t xml:space="preserve"> contexte, une réflexion méthodologique de la pertinence des indicateurs choisis</w:t>
      </w:r>
      <w:r>
        <w:rPr>
          <w:lang w:val="fr-BE"/>
        </w:rPr>
        <w:t>, etc.</w:t>
      </w:r>
    </w:p>
    <w:p w14:paraId="4E1C9AD8" w14:textId="77777777" w:rsidR="00FE6F3F" w:rsidRPr="00221B03" w:rsidRDefault="00FE6F3F" w:rsidP="00FE6F3F">
      <w:pPr>
        <w:spacing w:beforeLines="120" w:before="288" w:afterLines="120" w:after="288"/>
        <w:jc w:val="both"/>
        <w:rPr>
          <w:lang w:val="fr-BE"/>
        </w:rPr>
      </w:pPr>
      <w:proofErr w:type="gramStart"/>
      <w:r w:rsidRPr="00DF300F">
        <w:rPr>
          <w:lang w:val="fr-BE"/>
        </w:rPr>
        <w:lastRenderedPageBreak/>
        <w:t>Par contre</w:t>
      </w:r>
      <w:proofErr w:type="gramEnd"/>
      <w:r w:rsidRPr="00DF300F">
        <w:rPr>
          <w:lang w:val="fr-BE"/>
        </w:rPr>
        <w:t>, si l’association décide de changer tous ses indicateurs par rapport à 2023, il est recommandé de contacter son gestionnaire de dossier pour en discuter.</w:t>
      </w:r>
    </w:p>
    <w:p w14:paraId="3A6D39E5" w14:textId="77777777" w:rsidR="00FE6F3F" w:rsidRPr="00C4150C" w:rsidRDefault="00FE6F3F" w:rsidP="00FE6F3F">
      <w:pPr>
        <w:pStyle w:val="Paragraphedeliste"/>
        <w:numPr>
          <w:ilvl w:val="0"/>
          <w:numId w:val="10"/>
        </w:numPr>
        <w:spacing w:beforeLines="120" w:before="288" w:afterLines="120" w:after="288"/>
        <w:jc w:val="both"/>
        <w:rPr>
          <w:b/>
          <w:bCs/>
        </w:rPr>
      </w:pPr>
      <w:r w:rsidRPr="00C4150C">
        <w:rPr>
          <w:b/>
          <w:bCs/>
        </w:rPr>
        <w:t>La mixité du public peut-elle être un indicateur de résultat mais aussi une évolution et donc un indicateur d’impact ?</w:t>
      </w:r>
    </w:p>
    <w:p w14:paraId="0B52CF7A" w14:textId="77777777" w:rsidR="00FE6F3F" w:rsidRDefault="00FE6F3F" w:rsidP="00FE6F3F">
      <w:pPr>
        <w:spacing w:beforeLines="120" w:before="288" w:afterLines="120" w:after="288"/>
        <w:jc w:val="both"/>
      </w:pPr>
      <w:r>
        <w:t xml:space="preserve">Oui, la différence entre ce qui est un résultat ou un impact peut parfois être floue. Le principal marqueur pour établir une distinction est le </w:t>
      </w:r>
      <w:r w:rsidRPr="00DF7077">
        <w:rPr>
          <w:b/>
          <w:bCs/>
          <w:i/>
          <w:iCs/>
        </w:rPr>
        <w:t>temps</w:t>
      </w:r>
      <w:r>
        <w:t xml:space="preserve"> (long terme et non immédiatement après l’action) et l’idée de </w:t>
      </w:r>
      <w:r w:rsidRPr="00DF7077">
        <w:rPr>
          <w:b/>
          <w:bCs/>
          <w:i/>
          <w:iCs/>
        </w:rPr>
        <w:t>changement</w:t>
      </w:r>
      <w:r w:rsidRPr="3B417002">
        <w:rPr>
          <w:i/>
          <w:iCs/>
        </w:rPr>
        <w:t xml:space="preserve"> </w:t>
      </w:r>
      <w:r>
        <w:t>que dénote l’indicateur d’impact</w:t>
      </w:r>
      <w:r w:rsidRPr="3B417002">
        <w:rPr>
          <w:color w:val="FF0000"/>
        </w:rPr>
        <w:t>.</w:t>
      </w:r>
      <w:r>
        <w:t xml:space="preserve"> Ainsi, une mixité obtenue lors d’une rencontre ou dans la composition d’un groupe est un résultat, alors que l’évolution de cette mixité peut être un indicateur d’impact.</w:t>
      </w:r>
    </w:p>
    <w:p w14:paraId="02EE212A" w14:textId="77777777" w:rsidR="00FE6F3F" w:rsidRPr="00E73396" w:rsidRDefault="00FE6F3F" w:rsidP="00FE6F3F">
      <w:pPr>
        <w:pStyle w:val="Paragraphedeliste"/>
        <w:numPr>
          <w:ilvl w:val="0"/>
          <w:numId w:val="10"/>
        </w:numPr>
        <w:spacing w:beforeLines="120" w:before="288" w:afterLines="120" w:after="288"/>
        <w:jc w:val="both"/>
        <w:rPr>
          <w:b/>
          <w:bCs/>
        </w:rPr>
      </w:pPr>
      <w:r w:rsidRPr="00E73396">
        <w:rPr>
          <w:b/>
          <w:bCs/>
        </w:rPr>
        <w:t>Est-ce que les commentaires sur les réseaux sociaux peuvent être des indicateurs ?</w:t>
      </w:r>
    </w:p>
    <w:p w14:paraId="047AF153" w14:textId="77777777" w:rsidR="00FE6F3F" w:rsidRDefault="00FE6F3F" w:rsidP="00FE6F3F">
      <w:pPr>
        <w:spacing w:beforeLines="120" w:before="288" w:afterLines="120" w:after="288"/>
        <w:jc w:val="both"/>
      </w:pPr>
      <w:r w:rsidRPr="00E73396">
        <w:t>Les indicateurs doivent être centrés sur le public (</w:t>
      </w:r>
      <w:proofErr w:type="spellStart"/>
      <w:r w:rsidRPr="00E73396">
        <w:t>participant·e·s</w:t>
      </w:r>
      <w:proofErr w:type="spellEnd"/>
      <w:r w:rsidRPr="00E73396">
        <w:t xml:space="preserve">, bénéficiaires). Ça pourrait être considéré comme un </w:t>
      </w:r>
      <w:r w:rsidRPr="00E73396">
        <w:rPr>
          <w:i/>
          <w:iCs/>
        </w:rPr>
        <w:t>indicateur de résultat</w:t>
      </w:r>
      <w:r w:rsidRPr="00E73396">
        <w:t xml:space="preserve"> quand les </w:t>
      </w:r>
      <w:proofErr w:type="spellStart"/>
      <w:r w:rsidRPr="00E73396">
        <w:t>participant·e·s</w:t>
      </w:r>
      <w:proofErr w:type="spellEnd"/>
      <w:r w:rsidRPr="00E73396">
        <w:t xml:space="preserve"> s’expriment sur le projet, mais il y a un risque que ça devienne chronophage de « faire de tri » des commentaires sur les réseaux entre </w:t>
      </w:r>
      <w:proofErr w:type="spellStart"/>
      <w:r w:rsidRPr="00E73396">
        <w:t>participant·e·s</w:t>
      </w:r>
      <w:proofErr w:type="spellEnd"/>
      <w:r w:rsidRPr="00E73396">
        <w:t xml:space="preserve"> et tout public.</w:t>
      </w:r>
    </w:p>
    <w:p w14:paraId="7B889EF2" w14:textId="77777777" w:rsidR="00FE6F3F" w:rsidRDefault="00FE6F3F" w:rsidP="00FE6F3F">
      <w:pPr>
        <w:pStyle w:val="Paragraphedeliste"/>
        <w:numPr>
          <w:ilvl w:val="0"/>
          <w:numId w:val="10"/>
        </w:numPr>
        <w:spacing w:before="120" w:after="120"/>
        <w:jc w:val="both"/>
        <w:rPr>
          <w:b/>
          <w:bCs/>
        </w:rPr>
      </w:pPr>
      <w:r w:rsidRPr="00661CBB">
        <w:rPr>
          <w:b/>
          <w:bCs/>
        </w:rPr>
        <w:t xml:space="preserve">Dans la présentation du </w:t>
      </w:r>
      <w:proofErr w:type="spellStart"/>
      <w:r w:rsidRPr="00661CBB">
        <w:rPr>
          <w:b/>
          <w:bCs/>
        </w:rPr>
        <w:t>CRAcs</w:t>
      </w:r>
      <w:proofErr w:type="spellEnd"/>
      <w:r w:rsidRPr="00661CBB">
        <w:rPr>
          <w:b/>
          <w:bCs/>
        </w:rPr>
        <w:t>, les différentes catégories d’indicateurs ont été présentées : indicateurs de ressources, de réalisation, de résultats et d’impact. Par ailleurs, une diapositive portait sur les priorités des indicateurs, notamment le critère « SMART ».</w:t>
      </w:r>
    </w:p>
    <w:p w14:paraId="434697AD" w14:textId="77777777" w:rsidR="00FE6F3F" w:rsidRPr="00661CBB" w:rsidRDefault="00FE6F3F" w:rsidP="00FE6F3F">
      <w:pPr>
        <w:pStyle w:val="Paragraphedeliste"/>
        <w:spacing w:before="120" w:after="120"/>
        <w:jc w:val="both"/>
        <w:rPr>
          <w:b/>
          <w:bCs/>
        </w:rPr>
      </w:pPr>
      <w:r w:rsidRPr="3B417002">
        <w:rPr>
          <w:b/>
          <w:bCs/>
        </w:rPr>
        <w:t>Cela implique-t-il que les associations doivent fournir des exemples des différents types d’indicateurs (ressources, réalisation, résultats, impact) et préciser dans quelle mesure et pour quelles raisons les indicateurs choisis répondent aux critères SMART ?</w:t>
      </w:r>
    </w:p>
    <w:p w14:paraId="06359674" w14:textId="77777777" w:rsidR="00FE6F3F" w:rsidRDefault="00FE6F3F" w:rsidP="00FE6F3F">
      <w:pPr>
        <w:spacing w:beforeLines="120" w:before="288" w:afterLines="120" w:after="288"/>
        <w:jc w:val="both"/>
      </w:pPr>
      <w:r>
        <w:t xml:space="preserve">Non. La présentation </w:t>
      </w:r>
      <w:r w:rsidRPr="00DF7077">
        <w:t xml:space="preserve">des différentes typologies d’indicateurs ainsi que du principe SMART par l’équipe du </w:t>
      </w:r>
      <w:proofErr w:type="spellStart"/>
      <w:r w:rsidRPr="00DF7077">
        <w:t>CRAcs</w:t>
      </w:r>
      <w:proofErr w:type="spellEnd"/>
      <w:r w:rsidRPr="00DF7077">
        <w:t xml:space="preserve"> avaient pour objectif principal de soutenir et d’alimenter la réflexion méthodologique des associations. Il s’agissait de proposer une vision d’ensemble des indicateurs, de leur utilité et de ce qu’ils permettent de mesurer, afin de favoriser une meilleure compréhension et appropriation de ces outils. Les critères SMART ont été abordés dans cette même logique, à titre de repères méthodologiques destinés à aider les associations à structurer le choix de leurs indicateurs et à identifier ceux qui sont les plus pertinents au regard de leur contexte et de </w:t>
      </w:r>
      <w:r>
        <w:t>leur action.</w:t>
      </w:r>
    </w:p>
    <w:p w14:paraId="50D98202" w14:textId="77777777" w:rsidR="00FE6F3F" w:rsidRDefault="00FE6F3F" w:rsidP="00FE6F3F">
      <w:pPr>
        <w:spacing w:beforeLines="120" w:before="288" w:afterLines="120" w:after="288"/>
        <w:jc w:val="both"/>
      </w:pPr>
      <w:r>
        <w:t>À aucun moment, dans le formulaire d’évaluation du plan d’action quinquennal, il n’est demandé aux associations de définir leurs indicateurs selon les critères SMART. En ce qui concerne les différentes typologies d’indicateurs, c’est le document de la COCOF qui précise les types d’indicateurs attendus :</w:t>
      </w:r>
    </w:p>
    <w:p w14:paraId="435D6476" w14:textId="77777777" w:rsidR="00FE6F3F" w:rsidRDefault="00FE6F3F" w:rsidP="00FE6F3F">
      <w:pPr>
        <w:pStyle w:val="Paragraphedeliste"/>
        <w:numPr>
          <w:ilvl w:val="0"/>
          <w:numId w:val="12"/>
        </w:numPr>
        <w:spacing w:beforeLines="120" w:before="288" w:afterLines="120" w:after="288"/>
        <w:jc w:val="both"/>
      </w:pPr>
      <w:r>
        <w:t>Pour les P1, P2 et P4A, les associations doivent se référer à des indicateurs d’impact ;</w:t>
      </w:r>
    </w:p>
    <w:p w14:paraId="70E3E59F" w14:textId="77777777" w:rsidR="00FE6F3F" w:rsidRDefault="00FE6F3F" w:rsidP="00FE6F3F">
      <w:pPr>
        <w:pStyle w:val="Paragraphedeliste"/>
        <w:numPr>
          <w:ilvl w:val="0"/>
          <w:numId w:val="12"/>
        </w:numPr>
        <w:spacing w:beforeLines="120" w:before="288" w:afterLines="120" w:after="288"/>
        <w:jc w:val="both"/>
      </w:pPr>
      <w:r>
        <w:t xml:space="preserve">Pour les associations agréées en P3A et P4B, le choix est plus large. Il est possible de se référer à des indicateurs de </w:t>
      </w:r>
      <w:r w:rsidRPr="00661CBB">
        <w:t>réalisation</w:t>
      </w:r>
      <w:r>
        <w:t xml:space="preserve"> et de résultats, l’impact n’étant pas toujours pertinent au regard de la spécificité de leurs actions, qui ne permettent pas nécessairement un suivi du public sur le moyen/long terme. Cela implique donc une difficulté réelle à mesurer l’impact de l’action associative pour les P3A et les P4B.</w:t>
      </w:r>
    </w:p>
    <w:p w14:paraId="71ECEE09" w14:textId="77777777" w:rsidR="00FE6F3F" w:rsidRDefault="00FE6F3F" w:rsidP="00FE6F3F">
      <w:pPr>
        <w:spacing w:beforeLines="120" w:before="288" w:afterLines="120" w:after="288"/>
        <w:jc w:val="both"/>
      </w:pPr>
    </w:p>
    <w:p w14:paraId="2974B10D" w14:textId="77777777" w:rsidR="00FE6F3F" w:rsidRDefault="00FE6F3F" w:rsidP="00FE6F3F">
      <w:pPr>
        <w:pStyle w:val="Paragraphedeliste"/>
        <w:numPr>
          <w:ilvl w:val="0"/>
          <w:numId w:val="10"/>
        </w:numPr>
        <w:spacing w:beforeLines="120" w:before="288" w:afterLines="120" w:after="288"/>
        <w:jc w:val="both"/>
        <w:rPr>
          <w:b/>
          <w:bCs/>
          <w:lang w:val="fr-BE"/>
        </w:rPr>
      </w:pPr>
      <w:r w:rsidRPr="3B417002">
        <w:rPr>
          <w:b/>
          <w:bCs/>
          <w:lang w:val="fr-BE"/>
        </w:rPr>
        <w:t xml:space="preserve">Les associations estiment que le contexte dans lequel elles opèrent </w:t>
      </w:r>
      <w:proofErr w:type="gramStart"/>
      <w:r w:rsidRPr="3B417002">
        <w:rPr>
          <w:b/>
          <w:bCs/>
          <w:lang w:val="fr-BE"/>
        </w:rPr>
        <w:t>a</w:t>
      </w:r>
      <w:proofErr w:type="gramEnd"/>
      <w:r w:rsidRPr="3B417002">
        <w:rPr>
          <w:b/>
          <w:bCs/>
          <w:lang w:val="fr-BE"/>
        </w:rPr>
        <w:t xml:space="preserve"> un fort impact sur leurs activités. Comment tenir compte de cette situation ? Le « contexte » est-il un indicateur d’impact ?</w:t>
      </w:r>
    </w:p>
    <w:p w14:paraId="7CB91B35" w14:textId="77777777" w:rsidR="00FE6F3F" w:rsidRDefault="00FE6F3F" w:rsidP="00FE6F3F">
      <w:pPr>
        <w:spacing w:beforeLines="120" w:before="288" w:afterLines="120" w:after="288"/>
        <w:jc w:val="both"/>
        <w:rPr>
          <w:lang w:val="fr-BE"/>
        </w:rPr>
      </w:pPr>
      <w:r>
        <w:rPr>
          <w:lang w:val="fr-BE"/>
        </w:rPr>
        <w:t xml:space="preserve">En effet, les associations ont partagé plusieurs exemples d’éléments de contextes impactant les projets. </w:t>
      </w:r>
      <w:r w:rsidRPr="00DF7077">
        <w:rPr>
          <w:lang w:val="fr-BE"/>
        </w:rPr>
        <w:t>Par exemple :</w:t>
      </w:r>
    </w:p>
    <w:p w14:paraId="6455B823" w14:textId="77777777" w:rsidR="00FE6F3F" w:rsidRDefault="00FE6F3F" w:rsidP="00FE6F3F">
      <w:pPr>
        <w:pStyle w:val="Paragraphedeliste"/>
        <w:numPr>
          <w:ilvl w:val="0"/>
          <w:numId w:val="15"/>
        </w:numPr>
        <w:spacing w:beforeLines="120" w:before="288" w:afterLines="120" w:after="288"/>
        <w:jc w:val="both"/>
        <w:rPr>
          <w:lang w:val="fr-BE"/>
        </w:rPr>
      </w:pPr>
      <w:r>
        <w:rPr>
          <w:lang w:val="fr-BE"/>
        </w:rPr>
        <w:t>[P1] E</w:t>
      </w:r>
      <w:r w:rsidRPr="001F7072">
        <w:rPr>
          <w:lang w:val="fr-BE"/>
        </w:rPr>
        <w:t>n 6e primaire, elles observent une baisse constante du niveau des élèves due à des multiples facteurs (précarisation croissante des publics, présence de plus en plus importante des élèves à besoins spécifiques, etc..)</w:t>
      </w:r>
      <w:r>
        <w:rPr>
          <w:lang w:val="fr-BE"/>
        </w:rPr>
        <w:t> ;</w:t>
      </w:r>
    </w:p>
    <w:p w14:paraId="47860888" w14:textId="77777777" w:rsidR="00FE6F3F" w:rsidRPr="001F7072" w:rsidRDefault="00FE6F3F" w:rsidP="00FE6F3F">
      <w:pPr>
        <w:pStyle w:val="Paragraphedeliste"/>
        <w:numPr>
          <w:ilvl w:val="0"/>
          <w:numId w:val="15"/>
        </w:numPr>
        <w:spacing w:beforeLines="120" w:before="288" w:afterLines="120" w:after="288"/>
        <w:jc w:val="both"/>
        <w:rPr>
          <w:lang w:val="fr-BE"/>
        </w:rPr>
      </w:pPr>
      <w:r w:rsidRPr="001F7072">
        <w:rPr>
          <w:lang w:val="fr-BE"/>
        </w:rPr>
        <w:t>[P1] Mesures du fédéral impactent le taux de participation des parents au sein des EDD : moins de présence aux activités en heures scolaires car beaucoup de parents sont sous pression pour trouver un travail ;</w:t>
      </w:r>
    </w:p>
    <w:p w14:paraId="7C021FDF" w14:textId="77777777" w:rsidR="00FE6F3F" w:rsidRDefault="00FE6F3F" w:rsidP="00FE6F3F">
      <w:pPr>
        <w:pStyle w:val="Paragraphedeliste"/>
        <w:numPr>
          <w:ilvl w:val="0"/>
          <w:numId w:val="15"/>
        </w:numPr>
      </w:pPr>
      <w:r w:rsidRPr="001F7072">
        <w:t xml:space="preserve">[P2] Situation compliquée avec le public pour que </w:t>
      </w:r>
      <w:r>
        <w:t>l</w:t>
      </w:r>
      <w:r w:rsidRPr="001F7072">
        <w:t>es entretiens/moments d’</w:t>
      </w:r>
      <w:r>
        <w:t>auto-</w:t>
      </w:r>
      <w:r w:rsidRPr="001F7072">
        <w:t>évaluation</w:t>
      </w:r>
      <w:r>
        <w:t xml:space="preserve"> de l’association</w:t>
      </w:r>
      <w:r w:rsidRPr="001F7072">
        <w:t xml:space="preserve"> ne soient pas </w:t>
      </w:r>
      <w:r>
        <w:t xml:space="preserve">perçus comme </w:t>
      </w:r>
      <w:r w:rsidRPr="001F7072">
        <w:t>un contrôle en plus ;</w:t>
      </w:r>
    </w:p>
    <w:p w14:paraId="788D9F60" w14:textId="77777777" w:rsidR="00FE6F3F" w:rsidRPr="001F7072" w:rsidRDefault="00FE6F3F" w:rsidP="00FE6F3F">
      <w:pPr>
        <w:pStyle w:val="Paragraphedeliste"/>
        <w:numPr>
          <w:ilvl w:val="0"/>
          <w:numId w:val="15"/>
        </w:numPr>
      </w:pPr>
      <w:r w:rsidRPr="001F7072">
        <w:t>[P3A] mesures législatives qui influencent fortement le travail des permanences sociojuridiques</w:t>
      </w:r>
      <w:r>
        <w:t> ;</w:t>
      </w:r>
    </w:p>
    <w:p w14:paraId="6C281F55" w14:textId="77777777" w:rsidR="00FE6F3F" w:rsidRPr="00221B03" w:rsidRDefault="00FE6F3F" w:rsidP="00FE6F3F">
      <w:pPr>
        <w:spacing w:beforeLines="120" w:before="288" w:afterLines="120" w:after="288"/>
        <w:jc w:val="both"/>
        <w:rPr>
          <w:lang w:val="fr-BE"/>
        </w:rPr>
      </w:pPr>
      <w:r w:rsidRPr="3B417002">
        <w:rPr>
          <w:lang w:val="fr-BE"/>
        </w:rPr>
        <w:t xml:space="preserve">Le contexte est effectivement un facteur qui influence (et donc qui a un impact sur) les activités des associations et, par conséquent, leurs résultats. Cependant, dans le document “Evaluation du PAQ » (Tableau 1), les associations sont censées renseigner des indicateurs qui décrivent comment </w:t>
      </w:r>
      <w:r w:rsidRPr="3B417002">
        <w:rPr>
          <w:u w:val="single"/>
          <w:lang w:val="fr-BE"/>
        </w:rPr>
        <w:t>leurs actions ont un impact sur les bénéficiaires</w:t>
      </w:r>
      <w:r w:rsidRPr="3B417002">
        <w:rPr>
          <w:lang w:val="fr-BE"/>
        </w:rPr>
        <w:t>, et non comment le contexte a un impact sur leurs actions.</w:t>
      </w:r>
    </w:p>
    <w:p w14:paraId="5A46EAA7" w14:textId="77777777" w:rsidR="00FE6F3F" w:rsidRPr="00221B03" w:rsidRDefault="00FE6F3F" w:rsidP="00FE6F3F">
      <w:pPr>
        <w:spacing w:beforeLines="120" w:before="288" w:afterLines="120" w:after="288"/>
        <w:jc w:val="both"/>
        <w:rPr>
          <w:lang w:val="fr-BE"/>
        </w:rPr>
      </w:pPr>
      <w:r w:rsidRPr="00221B03">
        <w:rPr>
          <w:lang w:val="fr-BE"/>
        </w:rPr>
        <w:t>Cela peut néanmoins être précisé dans la question 4, où vous pouvez expliquer tout facteur contextuel, récent ou non, ainsi que toute évolution du contexte qui affecte votre activité sur le terrain.</w:t>
      </w:r>
    </w:p>
    <w:p w14:paraId="6DA4DC5C" w14:textId="77777777" w:rsidR="00FE6F3F" w:rsidRPr="001F7072" w:rsidRDefault="00FE6F3F" w:rsidP="00FE6F3F">
      <w:pPr>
        <w:pStyle w:val="Paragraphedeliste"/>
        <w:numPr>
          <w:ilvl w:val="0"/>
          <w:numId w:val="13"/>
        </w:numPr>
        <w:spacing w:beforeLines="120" w:before="288" w:afterLines="120" w:after="288"/>
        <w:jc w:val="both"/>
        <w:rPr>
          <w:b/>
          <w:bCs/>
          <w:lang w:val="fr-BE"/>
        </w:rPr>
      </w:pPr>
      <w:r w:rsidRPr="006F49E9">
        <w:rPr>
          <w:b/>
          <w:bCs/>
          <w:lang w:val="fr-BE"/>
        </w:rPr>
        <w:t>Lorsque le contexte est particulièrement impactant</w:t>
      </w:r>
      <w:r>
        <w:rPr>
          <w:b/>
          <w:bCs/>
          <w:lang w:val="fr-BE"/>
        </w:rPr>
        <w:t xml:space="preserve">, </w:t>
      </w:r>
      <w:r w:rsidRPr="006F49E9">
        <w:rPr>
          <w:b/>
          <w:bCs/>
          <w:lang w:val="fr-BE"/>
        </w:rPr>
        <w:t xml:space="preserve">il est légitime de se demander si la proposition d’indicateurs </w:t>
      </w:r>
      <w:proofErr w:type="gramStart"/>
      <w:r w:rsidRPr="006F49E9">
        <w:rPr>
          <w:b/>
          <w:bCs/>
          <w:lang w:val="fr-BE"/>
        </w:rPr>
        <w:t>a</w:t>
      </w:r>
      <w:proofErr w:type="gramEnd"/>
      <w:r w:rsidRPr="006F49E9">
        <w:rPr>
          <w:b/>
          <w:bCs/>
          <w:lang w:val="fr-BE"/>
        </w:rPr>
        <w:t xml:space="preserve"> un réel sens, surtout si ceux-ci (ressources, réalisations, résultats, impact) peuvent être biaisés par ce même contexte.</w:t>
      </w:r>
      <w:r>
        <w:rPr>
          <w:b/>
          <w:bCs/>
          <w:lang w:val="fr-BE"/>
        </w:rPr>
        <w:br/>
      </w:r>
      <w:r w:rsidRPr="001F7072">
        <w:rPr>
          <w:b/>
          <w:bCs/>
          <w:lang w:val="fr-BE"/>
        </w:rPr>
        <w:t>Dans ce cadre, comment remplir ce formulaire de manière à refléter fidèlement le travail associatif et les difficultés rencontrées, plutôt que de le transformer en simple exercice administratif</w:t>
      </w:r>
      <w:r w:rsidRPr="001F7072">
        <w:rPr>
          <w:b/>
          <w:bCs/>
        </w:rPr>
        <w:t xml:space="preserve"> ?</w:t>
      </w:r>
    </w:p>
    <w:p w14:paraId="68A6B180" w14:textId="77777777" w:rsidR="00FE6F3F" w:rsidRPr="00584578" w:rsidRDefault="00FE6F3F" w:rsidP="00FE6F3F">
      <w:pPr>
        <w:spacing w:beforeLines="120" w:before="288" w:afterLines="120" w:after="288"/>
        <w:jc w:val="both"/>
        <w:rPr>
          <w:lang w:val="fr-BE"/>
        </w:rPr>
      </w:pPr>
      <w:r w:rsidRPr="00584578">
        <w:rPr>
          <w:lang w:val="fr-BE"/>
        </w:rPr>
        <w:t>Le travail associatif est en effet exposé à un contexte changeant</w:t>
      </w:r>
      <w:r>
        <w:rPr>
          <w:lang w:val="fr-BE"/>
        </w:rPr>
        <w:t> :</w:t>
      </w:r>
      <w:r w:rsidRPr="00584578">
        <w:rPr>
          <w:lang w:val="fr-BE"/>
        </w:rPr>
        <w:t xml:space="preserve"> actualité nationale et internationale, décisions politiques, mesures prises par les institutions locales, régionales, fédérales, voire internationales. Certaines mesures peuvent menacer la nature et les objectifs mêmes de l’action associative. Il est donc important d’expliciter ces éléments dans la question 4 du formulaire d’évaluation du Plan d’Action Quinquennal, afin de montrer dans quelle mesure l’action, ses réalisations, ses résultats et son impact peuvent être affectés par des facteurs externes sur lesquels l’association n’a aucun contrôle. Cette dernière question du formulaire joue donc un rôle central</w:t>
      </w:r>
      <w:r>
        <w:rPr>
          <w:lang w:val="fr-BE"/>
        </w:rPr>
        <w:t> :</w:t>
      </w:r>
      <w:r w:rsidRPr="00584578">
        <w:rPr>
          <w:lang w:val="fr-BE"/>
        </w:rPr>
        <w:t xml:space="preserve"> elle permet avant tout de reconnaître que certaines mesures ou situations échappent au contrôle de l’association et peuvent influencer les ressources, les réalisations, les résultats et l’impact. En y </w:t>
      </w:r>
      <w:r w:rsidRPr="00584578">
        <w:rPr>
          <w:lang w:val="fr-BE"/>
        </w:rPr>
        <w:lastRenderedPageBreak/>
        <w:t>répondant, les associations peuvent identifier les obstacles liés au contexte externe et décrire dans quelle mesure ces obstacles ont affecté l’action.</w:t>
      </w:r>
    </w:p>
    <w:p w14:paraId="5DF473E9" w14:textId="77777777" w:rsidR="00FE6F3F" w:rsidRPr="00584578" w:rsidRDefault="00FE6F3F" w:rsidP="00FE6F3F">
      <w:pPr>
        <w:spacing w:beforeLines="120" w:before="288" w:afterLines="120" w:after="288"/>
        <w:jc w:val="both"/>
        <w:rPr>
          <w:lang w:val="fr-BE"/>
        </w:rPr>
      </w:pPr>
      <w:r w:rsidRPr="00584578">
        <w:rPr>
          <w:lang w:val="fr-BE"/>
        </w:rPr>
        <w:t>Le formulaire, en général, peut également être envisagé comme un outil de valorisation et de résilience de l’action associative, malgré l’instabilité du contexte. Dans ce sens, les indicateurs choisis peuvent montrer à quel point l’action continue d’être un repère pour les publics et sa capacité à produire des réalisations, des résultats et même de l’impact, également dans un environnement incertain. Les indicateurs pourraient notamment jouer le rôle des indicateurs de résilience, mettant en évidence la capacité à maintenir une présence, un service ou un impact minimal malgré les contraintes exogènes.</w:t>
      </w:r>
    </w:p>
    <w:p w14:paraId="060F8784" w14:textId="77777777" w:rsidR="00FE6F3F" w:rsidRPr="00584578" w:rsidRDefault="00FE6F3F" w:rsidP="00FE6F3F">
      <w:pPr>
        <w:spacing w:beforeLines="120" w:before="288" w:afterLines="120" w:after="288"/>
        <w:jc w:val="both"/>
        <w:rPr>
          <w:lang w:val="fr-BE"/>
        </w:rPr>
      </w:pPr>
      <w:r w:rsidRPr="00584578">
        <w:rPr>
          <w:lang w:val="fr-BE"/>
        </w:rPr>
        <w:t>Si les indicateurs choisis sont quantitatifs, il peut être intéressant de privilégier des mesures relatives plutôt qu’absolues : par exemple, le pourcentage de dossiers traités malgré les obstacles contextuels, plutôt que le nombre brut. Si les indicateurs sont qualitatifs, ils peuvent valoriser, lorsque cela est possible et simple à recueillir (notamment dans le cadre des P3A), des témoignages, des perceptions des publics ou des adaptations mises en place, montrant comment l’action continue à être un repère et à produire un impact.</w:t>
      </w:r>
    </w:p>
    <w:p w14:paraId="1CCE8C93" w14:textId="77777777" w:rsidR="00FE6F3F" w:rsidRPr="00584578" w:rsidRDefault="00FE6F3F" w:rsidP="00FE6F3F">
      <w:pPr>
        <w:spacing w:beforeLines="120" w:before="288" w:afterLines="120" w:after="288"/>
        <w:jc w:val="both"/>
        <w:rPr>
          <w:lang w:val="fr-BE"/>
        </w:rPr>
      </w:pPr>
      <w:r w:rsidRPr="00584578">
        <w:rPr>
          <w:lang w:val="fr-BE"/>
        </w:rPr>
        <w:t>En général, les indicateurs doivent être choisis dans le but de montrer la continuité de l’action associative, la capacité à produire des résultats malgré les contraintes, ainsi que la valeur et la visibilité de l’association auprès des publics et des partenaires. En résumé, si la complexité du contexte est explicitement signalée, les indicateurs restent pertinents lorsqu’ils sont interprétés à la lumière de ce contexte. Ils peuvent alors devenir un outil stratégique pour démontrer la résilience, la flexibilité et les résultats de l’association, même face à des circonstances instables.</w:t>
      </w:r>
    </w:p>
    <w:p w14:paraId="3AF3B107" w14:textId="77777777" w:rsidR="00FE6F3F" w:rsidRDefault="00FE6F3F" w:rsidP="00FE6F3F"/>
    <w:p w14:paraId="0C903BA8" w14:textId="0FBA7EF3" w:rsidR="00A20352" w:rsidRPr="00714480" w:rsidRDefault="00A20352" w:rsidP="00714480"/>
    <w:sectPr w:rsidR="00A20352" w:rsidRPr="00714480" w:rsidSect="001379B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0FB47" w14:textId="77777777" w:rsidR="00FE6F3F" w:rsidRDefault="00FE6F3F" w:rsidP="00FB3757">
      <w:r>
        <w:separator/>
      </w:r>
    </w:p>
  </w:endnote>
  <w:endnote w:type="continuationSeparator" w:id="0">
    <w:p w14:paraId="7CD84AD6" w14:textId="77777777" w:rsidR="00FE6F3F" w:rsidRDefault="00FE6F3F" w:rsidP="00FB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FE2B" w14:textId="77777777" w:rsidR="006E01C3" w:rsidRDefault="006E01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7241" w14:textId="77777777" w:rsidR="008E3D6C" w:rsidRDefault="00714480" w:rsidP="00714480">
    <w:pPr>
      <w:pStyle w:val="Pieddepage"/>
    </w:pPr>
    <w:r>
      <w:rPr>
        <w:noProof/>
        <w:lang w:eastAsia="fr-BE"/>
      </w:rPr>
      <w:drawing>
        <wp:anchor distT="0" distB="0" distL="114300" distR="114300" simplePos="0" relativeHeight="251670528" behindDoc="0" locked="0" layoutInCell="1" allowOverlap="1" wp14:anchorId="5961CC8C" wp14:editId="17F0EB02">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Pr="00714480">
      <w:rPr>
        <w:b/>
        <w:bCs/>
        <w:noProof/>
      </w:rPr>
      <w:t>2</w:t>
    </w:r>
    <w:r w:rsidR="00AD6EE0">
      <w:rPr>
        <w:b/>
        <w:bCs/>
      </w:rPr>
      <w:fldChar w:fldCharType="end"/>
    </w:r>
    <w:r w:rsidR="00AD6EE0">
      <w:t xml:space="preserve"> / </w:t>
    </w:r>
    <w:r w:rsidR="00AD6EE0">
      <w:rPr>
        <w:b/>
        <w:bCs/>
      </w:rPr>
      <w:fldChar w:fldCharType="begin"/>
    </w:r>
    <w:r w:rsidR="00AD6EE0">
      <w:rPr>
        <w:b/>
        <w:bCs/>
      </w:rPr>
      <w:instrText>NUMPAGES  \* Arabic  \* MERGEFORMAT</w:instrText>
    </w:r>
    <w:r w:rsidR="00AD6EE0">
      <w:rPr>
        <w:b/>
        <w:bCs/>
      </w:rPr>
      <w:fldChar w:fldCharType="separate"/>
    </w:r>
    <w:r w:rsidR="00D5052F" w:rsidRPr="00D5052F">
      <w:rPr>
        <w:b/>
        <w:bCs/>
        <w:noProof/>
      </w:rPr>
      <w:t>1</w:t>
    </w:r>
    <w:r w:rsidR="00AD6EE0">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1BCD7" w14:textId="77777777" w:rsidR="003452B7" w:rsidRDefault="00570660">
    <w:pPr>
      <w:pStyle w:val="Pieddepage"/>
    </w:pPr>
    <w:r>
      <w:rPr>
        <w:noProof/>
        <w:lang w:eastAsia="fr-BE"/>
      </w:rPr>
      <w:drawing>
        <wp:anchor distT="0" distB="0" distL="114300" distR="114300" simplePos="0" relativeHeight="251669504" behindDoc="1" locked="0" layoutInCell="1" allowOverlap="1" wp14:anchorId="56CEF7AF" wp14:editId="5D00E5CA">
          <wp:simplePos x="0" y="0"/>
          <wp:positionH relativeFrom="page">
            <wp:posOffset>523877</wp:posOffset>
          </wp:positionH>
          <wp:positionV relativeFrom="page">
            <wp:posOffset>9829800</wp:posOffset>
          </wp:positionV>
          <wp:extent cx="6473015" cy="367199"/>
          <wp:effectExtent l="0" t="0" r="4445" b="0"/>
          <wp:wrapNone/>
          <wp:docPr id="13" name="Image 13" descr="Service de la cohésion sociale&#10;Commission communautaire française&#10;www.ccf.brussels&#10;Rue des palais 42&#10;1030 Bruxe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Service de la cohésion sociale&#10;Commission communautaire française&#10;www.ccf.brussels&#10;Rue des palais 42&#10;1030 Bruxelles"/>
                  <pic:cNvPicPr/>
                </pic:nvPicPr>
                <pic:blipFill>
                  <a:blip r:embed="rId1">
                    <a:extLst>
                      <a:ext uri="{28A0092B-C50C-407E-A947-70E740481C1C}">
                        <a14:useLocalDpi xmlns:a14="http://schemas.microsoft.com/office/drawing/2010/main" val="0"/>
                      </a:ext>
                    </a:extLst>
                  </a:blip>
                  <a:stretch>
                    <a:fillRect/>
                  </a:stretch>
                </pic:blipFill>
                <pic:spPr>
                  <a:xfrm>
                    <a:off x="0" y="0"/>
                    <a:ext cx="6473015"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54D9" w14:textId="77777777" w:rsidR="00FE6F3F" w:rsidRDefault="00FE6F3F" w:rsidP="00FB3757">
      <w:r>
        <w:separator/>
      </w:r>
    </w:p>
  </w:footnote>
  <w:footnote w:type="continuationSeparator" w:id="0">
    <w:p w14:paraId="2BA8985E" w14:textId="77777777" w:rsidR="00FE6F3F" w:rsidRDefault="00FE6F3F" w:rsidP="00FB3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556C" w14:textId="77777777" w:rsidR="006E01C3" w:rsidRDefault="006E01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0493" w14:textId="77777777" w:rsidR="006E01C3" w:rsidRDefault="006E01C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960C" w14:textId="77777777" w:rsidR="003452B7" w:rsidRDefault="00D741D0" w:rsidP="00A803F2">
    <w:pPr>
      <w:pStyle w:val="En-tte"/>
      <w:ind w:left="-567" w:right="-172"/>
    </w:pPr>
    <w:r>
      <w:rPr>
        <w:noProof/>
        <w:lang w:eastAsia="fr-BE"/>
      </w:rPr>
      <w:drawing>
        <wp:inline distT="0" distB="0" distL="0" distR="0" wp14:anchorId="10745E88" wp14:editId="5B5B40BA">
          <wp:extent cx="6479996" cy="862983"/>
          <wp:effectExtent l="0" t="0" r="0" b="0"/>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2029"/>
    <w:multiLevelType w:val="hybridMultilevel"/>
    <w:tmpl w:val="DB32CD48"/>
    <w:lvl w:ilvl="0" w:tplc="040C0001">
      <w:start w:val="1"/>
      <w:numFmt w:val="bullet"/>
      <w:lvlText w:val=""/>
      <w:lvlJc w:val="left"/>
      <w:pPr>
        <w:ind w:left="720" w:hanging="360"/>
      </w:pPr>
      <w:rPr>
        <w:rFonts w:ascii="Symbol" w:hAnsi="Symbo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4213BD"/>
    <w:multiLevelType w:val="hybridMultilevel"/>
    <w:tmpl w:val="E39A3386"/>
    <w:lvl w:ilvl="0" w:tplc="040C0005">
      <w:start w:val="1"/>
      <w:numFmt w:val="bullet"/>
      <w:lvlText w:val=""/>
      <w:lvlJc w:val="left"/>
      <w:pPr>
        <w:ind w:left="779" w:hanging="360"/>
      </w:pPr>
      <w:rPr>
        <w:rFonts w:ascii="Wingdings" w:hAnsi="Wingdings" w:hint="default"/>
      </w:rPr>
    </w:lvl>
    <w:lvl w:ilvl="1" w:tplc="040C0003" w:tentative="1">
      <w:start w:val="1"/>
      <w:numFmt w:val="bullet"/>
      <w:lvlText w:val="o"/>
      <w:lvlJc w:val="left"/>
      <w:pPr>
        <w:ind w:left="1499" w:hanging="360"/>
      </w:pPr>
      <w:rPr>
        <w:rFonts w:ascii="Courier New" w:hAnsi="Courier New" w:cs="Courier New" w:hint="default"/>
      </w:rPr>
    </w:lvl>
    <w:lvl w:ilvl="2" w:tplc="040C0005" w:tentative="1">
      <w:start w:val="1"/>
      <w:numFmt w:val="bullet"/>
      <w:lvlText w:val=""/>
      <w:lvlJc w:val="left"/>
      <w:pPr>
        <w:ind w:left="2219" w:hanging="360"/>
      </w:pPr>
      <w:rPr>
        <w:rFonts w:ascii="Wingdings" w:hAnsi="Wingdings" w:hint="default"/>
      </w:rPr>
    </w:lvl>
    <w:lvl w:ilvl="3" w:tplc="040C0001" w:tentative="1">
      <w:start w:val="1"/>
      <w:numFmt w:val="bullet"/>
      <w:lvlText w:val=""/>
      <w:lvlJc w:val="left"/>
      <w:pPr>
        <w:ind w:left="2939" w:hanging="360"/>
      </w:pPr>
      <w:rPr>
        <w:rFonts w:ascii="Symbol" w:hAnsi="Symbol" w:hint="default"/>
      </w:rPr>
    </w:lvl>
    <w:lvl w:ilvl="4" w:tplc="040C0003" w:tentative="1">
      <w:start w:val="1"/>
      <w:numFmt w:val="bullet"/>
      <w:lvlText w:val="o"/>
      <w:lvlJc w:val="left"/>
      <w:pPr>
        <w:ind w:left="3659" w:hanging="360"/>
      </w:pPr>
      <w:rPr>
        <w:rFonts w:ascii="Courier New" w:hAnsi="Courier New" w:cs="Courier New" w:hint="default"/>
      </w:rPr>
    </w:lvl>
    <w:lvl w:ilvl="5" w:tplc="040C0005" w:tentative="1">
      <w:start w:val="1"/>
      <w:numFmt w:val="bullet"/>
      <w:lvlText w:val=""/>
      <w:lvlJc w:val="left"/>
      <w:pPr>
        <w:ind w:left="4379" w:hanging="360"/>
      </w:pPr>
      <w:rPr>
        <w:rFonts w:ascii="Wingdings" w:hAnsi="Wingdings" w:hint="default"/>
      </w:rPr>
    </w:lvl>
    <w:lvl w:ilvl="6" w:tplc="040C0001" w:tentative="1">
      <w:start w:val="1"/>
      <w:numFmt w:val="bullet"/>
      <w:lvlText w:val=""/>
      <w:lvlJc w:val="left"/>
      <w:pPr>
        <w:ind w:left="5099" w:hanging="360"/>
      </w:pPr>
      <w:rPr>
        <w:rFonts w:ascii="Symbol" w:hAnsi="Symbol" w:hint="default"/>
      </w:rPr>
    </w:lvl>
    <w:lvl w:ilvl="7" w:tplc="040C0003" w:tentative="1">
      <w:start w:val="1"/>
      <w:numFmt w:val="bullet"/>
      <w:lvlText w:val="o"/>
      <w:lvlJc w:val="left"/>
      <w:pPr>
        <w:ind w:left="5819" w:hanging="360"/>
      </w:pPr>
      <w:rPr>
        <w:rFonts w:ascii="Courier New" w:hAnsi="Courier New" w:cs="Courier New" w:hint="default"/>
      </w:rPr>
    </w:lvl>
    <w:lvl w:ilvl="8" w:tplc="040C0005" w:tentative="1">
      <w:start w:val="1"/>
      <w:numFmt w:val="bullet"/>
      <w:lvlText w:val=""/>
      <w:lvlJc w:val="left"/>
      <w:pPr>
        <w:ind w:left="6539" w:hanging="360"/>
      </w:pPr>
      <w:rPr>
        <w:rFonts w:ascii="Wingdings" w:hAnsi="Wingdings" w:hint="default"/>
      </w:rPr>
    </w:lvl>
  </w:abstractNum>
  <w:abstractNum w:abstractNumId="2"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4AAD0A18"/>
    <w:multiLevelType w:val="hybridMultilevel"/>
    <w:tmpl w:val="15049D4C"/>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2166E2"/>
    <w:multiLevelType w:val="hybridMultilevel"/>
    <w:tmpl w:val="4D82C7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3307F4A"/>
    <w:multiLevelType w:val="hybridMultilevel"/>
    <w:tmpl w:val="1ADAA2EA"/>
    <w:lvl w:ilvl="0" w:tplc="04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536107B"/>
    <w:multiLevelType w:val="hybridMultilevel"/>
    <w:tmpl w:val="6E3A34C8"/>
    <w:lvl w:ilvl="0" w:tplc="D4AC5BD0">
      <w:start w:val="1"/>
      <w:numFmt w:val="bullet"/>
      <w:lvlText w:val=""/>
      <w:lvlJc w:val="left"/>
      <w:pPr>
        <w:ind w:left="1068" w:hanging="360"/>
      </w:pPr>
      <w:rPr>
        <w:rFonts w:ascii="Symbol" w:hAnsi="Symbol" w:hint="default"/>
        <w:b/>
        <w:color w:val="auto"/>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2028484626">
    <w:abstractNumId w:val="2"/>
  </w:num>
  <w:num w:numId="2" w16cid:durableId="244464776">
    <w:abstractNumId w:val="2"/>
  </w:num>
  <w:num w:numId="3" w16cid:durableId="659042915">
    <w:abstractNumId w:val="2"/>
  </w:num>
  <w:num w:numId="4" w16cid:durableId="1619532925">
    <w:abstractNumId w:val="2"/>
  </w:num>
  <w:num w:numId="5" w16cid:durableId="1886066358">
    <w:abstractNumId w:val="2"/>
  </w:num>
  <w:num w:numId="6" w16cid:durableId="1478649664">
    <w:abstractNumId w:val="2"/>
  </w:num>
  <w:num w:numId="7" w16cid:durableId="1882740921">
    <w:abstractNumId w:val="2"/>
  </w:num>
  <w:num w:numId="8" w16cid:durableId="1158880694">
    <w:abstractNumId w:val="2"/>
  </w:num>
  <w:num w:numId="9" w16cid:durableId="42221860">
    <w:abstractNumId w:val="2"/>
  </w:num>
  <w:num w:numId="10" w16cid:durableId="1531719194">
    <w:abstractNumId w:val="0"/>
  </w:num>
  <w:num w:numId="11" w16cid:durableId="1315185061">
    <w:abstractNumId w:val="3"/>
  </w:num>
  <w:num w:numId="12" w16cid:durableId="1672444813">
    <w:abstractNumId w:val="6"/>
  </w:num>
  <w:num w:numId="13" w16cid:durableId="488063473">
    <w:abstractNumId w:val="5"/>
  </w:num>
  <w:num w:numId="14" w16cid:durableId="268437789">
    <w:abstractNumId w:val="4"/>
  </w:num>
  <w:num w:numId="15" w16cid:durableId="181274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3F"/>
    <w:rsid w:val="0000234C"/>
    <w:rsid w:val="000203FB"/>
    <w:rsid w:val="00023FBA"/>
    <w:rsid w:val="00082E6C"/>
    <w:rsid w:val="00094EC5"/>
    <w:rsid w:val="000A4106"/>
    <w:rsid w:val="000B30D4"/>
    <w:rsid w:val="000E7013"/>
    <w:rsid w:val="000F0973"/>
    <w:rsid w:val="00114859"/>
    <w:rsid w:val="001379B4"/>
    <w:rsid w:val="00143C58"/>
    <w:rsid w:val="001526F9"/>
    <w:rsid w:val="00163A83"/>
    <w:rsid w:val="0018221C"/>
    <w:rsid w:val="00182915"/>
    <w:rsid w:val="001973BD"/>
    <w:rsid w:val="001B30FC"/>
    <w:rsid w:val="001F3538"/>
    <w:rsid w:val="001F57FF"/>
    <w:rsid w:val="0020390E"/>
    <w:rsid w:val="00213CBE"/>
    <w:rsid w:val="002304D7"/>
    <w:rsid w:val="0024352A"/>
    <w:rsid w:val="00280443"/>
    <w:rsid w:val="00290AE9"/>
    <w:rsid w:val="002C233A"/>
    <w:rsid w:val="002E34AB"/>
    <w:rsid w:val="00301987"/>
    <w:rsid w:val="003452B7"/>
    <w:rsid w:val="00355E82"/>
    <w:rsid w:val="003C6E74"/>
    <w:rsid w:val="003C7EC0"/>
    <w:rsid w:val="003D7498"/>
    <w:rsid w:val="003E0475"/>
    <w:rsid w:val="003F2685"/>
    <w:rsid w:val="0046418A"/>
    <w:rsid w:val="004722FA"/>
    <w:rsid w:val="00474B8A"/>
    <w:rsid w:val="004B09B8"/>
    <w:rsid w:val="004B2B73"/>
    <w:rsid w:val="004B78D6"/>
    <w:rsid w:val="004D3C76"/>
    <w:rsid w:val="00502F6B"/>
    <w:rsid w:val="0050726E"/>
    <w:rsid w:val="00511C08"/>
    <w:rsid w:val="0052067B"/>
    <w:rsid w:val="0053320C"/>
    <w:rsid w:val="0054088B"/>
    <w:rsid w:val="00553E46"/>
    <w:rsid w:val="005607C7"/>
    <w:rsid w:val="00570660"/>
    <w:rsid w:val="005876F5"/>
    <w:rsid w:val="005B5445"/>
    <w:rsid w:val="005D49CE"/>
    <w:rsid w:val="00645E4A"/>
    <w:rsid w:val="006538BF"/>
    <w:rsid w:val="0066155E"/>
    <w:rsid w:val="00683810"/>
    <w:rsid w:val="006963DC"/>
    <w:rsid w:val="006C288C"/>
    <w:rsid w:val="006E01C3"/>
    <w:rsid w:val="0070375A"/>
    <w:rsid w:val="00714480"/>
    <w:rsid w:val="0072117C"/>
    <w:rsid w:val="00753A89"/>
    <w:rsid w:val="00776126"/>
    <w:rsid w:val="007901EA"/>
    <w:rsid w:val="007A0E99"/>
    <w:rsid w:val="007A3696"/>
    <w:rsid w:val="007C759F"/>
    <w:rsid w:val="007C7D7D"/>
    <w:rsid w:val="007D2B13"/>
    <w:rsid w:val="008013E6"/>
    <w:rsid w:val="00803C11"/>
    <w:rsid w:val="00834368"/>
    <w:rsid w:val="00867ECB"/>
    <w:rsid w:val="00885F1F"/>
    <w:rsid w:val="0089453B"/>
    <w:rsid w:val="0089467D"/>
    <w:rsid w:val="008A6099"/>
    <w:rsid w:val="008D2608"/>
    <w:rsid w:val="008E3D6C"/>
    <w:rsid w:val="0091076D"/>
    <w:rsid w:val="009532C7"/>
    <w:rsid w:val="00955C06"/>
    <w:rsid w:val="00971BD0"/>
    <w:rsid w:val="009817EB"/>
    <w:rsid w:val="0098283D"/>
    <w:rsid w:val="00A20352"/>
    <w:rsid w:val="00A2609C"/>
    <w:rsid w:val="00A36BA7"/>
    <w:rsid w:val="00A4714F"/>
    <w:rsid w:val="00A803F2"/>
    <w:rsid w:val="00AA0A75"/>
    <w:rsid w:val="00AC5C75"/>
    <w:rsid w:val="00AD24ED"/>
    <w:rsid w:val="00AD6EE0"/>
    <w:rsid w:val="00B279C8"/>
    <w:rsid w:val="00B36389"/>
    <w:rsid w:val="00B95459"/>
    <w:rsid w:val="00BA708C"/>
    <w:rsid w:val="00BD4C34"/>
    <w:rsid w:val="00BE7707"/>
    <w:rsid w:val="00C117BB"/>
    <w:rsid w:val="00C34E46"/>
    <w:rsid w:val="00C66CD9"/>
    <w:rsid w:val="00CF6105"/>
    <w:rsid w:val="00D15D93"/>
    <w:rsid w:val="00D5052F"/>
    <w:rsid w:val="00D6134A"/>
    <w:rsid w:val="00D741D0"/>
    <w:rsid w:val="00D923DA"/>
    <w:rsid w:val="00DB43CF"/>
    <w:rsid w:val="00DC073B"/>
    <w:rsid w:val="00DD4422"/>
    <w:rsid w:val="00DE4142"/>
    <w:rsid w:val="00DF0ADB"/>
    <w:rsid w:val="00DF225D"/>
    <w:rsid w:val="00E4574E"/>
    <w:rsid w:val="00E61224"/>
    <w:rsid w:val="00E613E8"/>
    <w:rsid w:val="00E96253"/>
    <w:rsid w:val="00ED5C6B"/>
    <w:rsid w:val="00F31282"/>
    <w:rsid w:val="00F36220"/>
    <w:rsid w:val="00F67562"/>
    <w:rsid w:val="00F70106"/>
    <w:rsid w:val="00F74229"/>
    <w:rsid w:val="00FB3757"/>
    <w:rsid w:val="00FB729B"/>
    <w:rsid w:val="00FE6F3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1EDFC"/>
  <w15:chartTrackingRefBased/>
  <w15:docId w15:val="{12288835-F1E0-4ED1-A31C-AE75163D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F3F"/>
    <w:pPr>
      <w:spacing w:after="0" w:line="240" w:lineRule="auto"/>
    </w:pPr>
    <w:rPr>
      <w:sz w:val="24"/>
      <w:szCs w:val="24"/>
      <w:lang w:val="fr-FR"/>
    </w:rPr>
  </w:style>
  <w:style w:type="paragraph" w:styleId="Titre1">
    <w:name w:val="heading 1"/>
    <w:basedOn w:val="Normal"/>
    <w:next w:val="Normal"/>
    <w:link w:val="Titre1Car"/>
    <w:uiPriority w:val="9"/>
    <w:qFormat/>
    <w:rsid w:val="00213CBE"/>
    <w:pPr>
      <w:keepNext/>
      <w:keepLines/>
      <w:spacing w:before="24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outlineLvl w:val="2"/>
    </w:pPr>
    <w:rPr>
      <w:rFonts w:asciiTheme="majorHAnsi" w:eastAsiaTheme="majorEastAsia" w:hAnsiTheme="majorHAnsi" w:cstheme="majorBidi"/>
      <w:b/>
      <w:i/>
      <w:color w:val="0A00BE"/>
    </w:rPr>
  </w:style>
  <w:style w:type="paragraph" w:styleId="Titre4">
    <w:name w:val="heading 4"/>
    <w:basedOn w:val="Normal"/>
    <w:next w:val="Normal"/>
    <w:link w:val="Titre4Car"/>
    <w:uiPriority w:val="9"/>
    <w:unhideWhenUsed/>
    <w:qFormat/>
    <w:rsid w:val="00213CBE"/>
    <w:pPr>
      <w:keepNext/>
      <w:keepLines/>
      <w:spacing w:before="4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DD4422"/>
    <w:pPr>
      <w:tabs>
        <w:tab w:val="center" w:pos="4536"/>
        <w:tab w:val="right" w:pos="9072"/>
      </w:tabs>
    </w:pPr>
  </w:style>
  <w:style w:type="character" w:customStyle="1" w:styleId="PieddepageCar">
    <w:name w:val="Pied de page Car"/>
    <w:basedOn w:val="Policepardfaut"/>
    <w:link w:val="Pieddepage"/>
    <w:uiPriority w:val="99"/>
    <w:rsid w:val="00DD4422"/>
    <w:rPr>
      <w:sz w:val="24"/>
    </w:rPr>
  </w:style>
  <w:style w:type="paragraph" w:styleId="Textedebulles">
    <w:name w:val="Balloon Text"/>
    <w:basedOn w:val="Normal"/>
    <w:link w:val="TextedebullesCar"/>
    <w:uiPriority w:val="99"/>
    <w:semiHidden/>
    <w:unhideWhenUsed/>
    <w:rsid w:val="00E4574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pPr>
  </w:style>
  <w:style w:type="character" w:styleId="Rfrenceintense">
    <w:name w:val="Intense Reference"/>
    <w:basedOn w:val="Policepardfaut"/>
    <w:uiPriority w:val="32"/>
    <w:qFormat/>
    <w:rsid w:val="00DF225D"/>
    <w:rPr>
      <w:b/>
      <w:bCs/>
      <w:smallCaps/>
      <w:color w:val="E31837"/>
      <w:spacing w:val="5"/>
    </w:rPr>
  </w:style>
  <w:style w:type="character" w:styleId="Accentuation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hyssen\OneDrive%20-%20SPFB-COCOF\Bureau\Service%20de%20la%20coh&#233;sion%20social%20MAJ.dotx" TargetMode="External"/></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c8adb6-3622-4d41-a02f-49e3f1a99858" xsi:nil="true"/>
    <lcf76f155ced4ddcb4097134ff3c332f xmlns="fde0f8c2-5b38-43e6-9b75-4c8d5d4e7436">
      <Terms xmlns="http://schemas.microsoft.com/office/infopath/2007/PartnerControls"/>
    </lcf76f155ced4ddcb4097134ff3c332f>
    <Contact xmlns="fde0f8c2-5b38-43e6-9b75-4c8d5d4e7436"/>
    <Cat_x00e9_gorie xmlns="fde0f8c2-5b38-43e6-9b75-4c8d5d4e743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52AA6B1CD5494BB1154FD8CE60EABD" ma:contentTypeVersion="19" ma:contentTypeDescription="Crée un document." ma:contentTypeScope="" ma:versionID="6de7608e3828f066fb2dca9e9da2b253">
  <xsd:schema xmlns:xsd="http://www.w3.org/2001/XMLSchema" xmlns:xs="http://www.w3.org/2001/XMLSchema" xmlns:p="http://schemas.microsoft.com/office/2006/metadata/properties" xmlns:ns2="fde0f8c2-5b38-43e6-9b75-4c8d5d4e7436" xmlns:ns3="f3c8adb6-3622-4d41-a02f-49e3f1a99858" targetNamespace="http://schemas.microsoft.com/office/2006/metadata/properties" ma:root="true" ma:fieldsID="3bef8fe6a0141f32661a0af8a8160944" ns2:_="" ns3:_="">
    <xsd:import namespace="fde0f8c2-5b38-43e6-9b75-4c8d5d4e7436"/>
    <xsd:import namespace="f3c8adb6-3622-4d41-a02f-49e3f1a99858"/>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Cat_x00e9_gorie" minOccurs="0"/>
                <xsd:element ref="ns2: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0f8c2-5b38-43e6-9b75-4c8d5d4e7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33017c1c-8121-4850-b8c6-20700954af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at_x00e9_gorie" ma:index="25" nillable="true" ma:displayName="Catégorie" ma:format="Dropdown" ma:internalName="Cat_x00e9_gorie" ma:requiredMultiChoice="true">
      <xsd:complexType>
        <xsd:complexContent>
          <xsd:extension base="dms:MultiChoice">
            <xsd:sequence>
              <xsd:element name="Value" maxOccurs="unbounded" minOccurs="0" nillable="true">
                <xsd:simpleType>
                  <xsd:restriction base="dms:Choice">
                    <xsd:enumeration value="Métier"/>
                    <xsd:enumeration value="Organisation et Support"/>
                    <xsd:enumeration value="RH"/>
                    <xsd:enumeration value="IT"/>
                    <xsd:enumeration value="Autre"/>
                  </xsd:restriction>
                </xsd:simpleType>
              </xsd:element>
            </xsd:sequence>
          </xsd:extension>
        </xsd:complexContent>
      </xsd:complexType>
    </xsd:element>
    <xsd:element name="Contact" ma:index="26" ma:displayName="Contact" ma:description="&quot;Initiale + NOM en lettres capitales - Numéro extension de la personne&quot; vers qui se tourner pour plus d'informations" ma:format="Dropdown" ma:internalName="Conta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c8adb6-3622-4d41-a02f-49e3f1a99858"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9556d980-f6fe-47fc-88ff-33d9c718c609}" ma:internalName="TaxCatchAll" ma:showField="CatchAllData" ma:web="f3c8adb6-3622-4d41-a02f-49e3f1a99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321BA-B78C-4936-9596-2807BC6CA563}">
  <ds:schemaRefs>
    <ds:schemaRef ds:uri="http://schemas.microsoft.com/office/2006/metadata/properties"/>
    <ds:schemaRef ds:uri="http://schemas.microsoft.com/office/infopath/2007/PartnerControls"/>
    <ds:schemaRef ds:uri="f3c8adb6-3622-4d41-a02f-49e3f1a99858"/>
    <ds:schemaRef ds:uri="fde0f8c2-5b38-43e6-9b75-4c8d5d4e7436"/>
  </ds:schemaRefs>
</ds:datastoreItem>
</file>

<file path=customXml/itemProps2.xml><?xml version="1.0" encoding="utf-8"?>
<ds:datastoreItem xmlns:ds="http://schemas.openxmlformats.org/officeDocument/2006/customXml" ds:itemID="{71CE1D0D-66AA-430C-AE92-A1993EEB572F}">
  <ds:schemaRefs>
    <ds:schemaRef ds:uri="http://schemas.microsoft.com/sharepoint/v3/contenttype/forms"/>
  </ds:schemaRefs>
</ds:datastoreItem>
</file>

<file path=customXml/itemProps3.xml><?xml version="1.0" encoding="utf-8"?>
<ds:datastoreItem xmlns:ds="http://schemas.openxmlformats.org/officeDocument/2006/customXml" ds:itemID="{D212725F-AECA-4211-AE01-8232F062E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0f8c2-5b38-43e6-9b75-4c8d5d4e7436"/>
    <ds:schemaRef ds:uri="f3c8adb6-3622-4d41-a02f-49e3f1a99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B6C71-5A22-45A2-B2CB-2F89CAE3C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de la cohésion social MAJ.dotx</Template>
  <TotalTime>4</TotalTime>
  <Pages>5</Pages>
  <Words>2017</Words>
  <Characters>11097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THYSSEN</dc:creator>
  <cp:keywords/>
  <dc:description/>
  <cp:lastModifiedBy>Jessica VANSTECKELMAN</cp:lastModifiedBy>
  <cp:revision>3</cp:revision>
  <cp:lastPrinted>2021-04-14T13:35:00Z</cp:lastPrinted>
  <dcterms:created xsi:type="dcterms:W3CDTF">2026-03-11T14:45:00Z</dcterms:created>
  <dcterms:modified xsi:type="dcterms:W3CDTF">2026-03-11T16:10:00Z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0x010100E852AA6B1CD5494BB1154FD8CE60EABD</vt:lpwstr>
  </property>
</Properties>
</file>