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F3BE6" w14:textId="2F39B335" w:rsidR="00716831" w:rsidRPr="00E12F7D" w:rsidRDefault="00716831" w:rsidP="00716831">
      <w:pPr>
        <w:jc w:val="center"/>
        <w:rPr>
          <w:b/>
          <w:bCs/>
          <w:color w:val="0A00BE" w:themeColor="accent1"/>
          <w:sz w:val="28"/>
          <w:szCs w:val="28"/>
        </w:rPr>
      </w:pPr>
      <w:r w:rsidRPr="00E12F7D">
        <w:rPr>
          <w:b/>
          <w:bCs/>
          <w:color w:val="0A00BE" w:themeColor="accent1"/>
          <w:sz w:val="28"/>
          <w:szCs w:val="28"/>
        </w:rPr>
        <w:t>Nouvelles règles non-marchand</w:t>
      </w:r>
    </w:p>
    <w:p w14:paraId="4129606B" w14:textId="77777777" w:rsidR="00716831" w:rsidRPr="00455EC6" w:rsidRDefault="00716831" w:rsidP="00716831">
      <w:pPr>
        <w:rPr>
          <w:b/>
          <w:bCs/>
          <w:sz w:val="10"/>
          <w:szCs w:val="10"/>
        </w:rPr>
      </w:pPr>
    </w:p>
    <w:tbl>
      <w:tblPr>
        <w:tblStyle w:val="Grilledutableau"/>
        <w:tblW w:w="0" w:type="auto"/>
        <w:tblLook w:val="04A0" w:firstRow="1" w:lastRow="0" w:firstColumn="1" w:lastColumn="0" w:noHBand="0" w:noVBand="1"/>
      </w:tblPr>
      <w:tblGrid>
        <w:gridCol w:w="13709"/>
      </w:tblGrid>
      <w:tr w:rsidR="00716831" w:rsidRPr="007B5CB6" w14:paraId="5EA60B1C" w14:textId="77777777" w:rsidTr="002572E1">
        <w:trPr>
          <w:trHeight w:val="454"/>
        </w:trPr>
        <w:tc>
          <w:tcPr>
            <w:tcW w:w="13709" w:type="dxa"/>
            <w:tcBorders>
              <w:top w:val="single" w:sz="4" w:space="0" w:color="auto"/>
            </w:tcBorders>
            <w:shd w:val="clear" w:color="auto" w:fill="C4C6C8" w:themeFill="accent3"/>
            <w:vAlign w:val="center"/>
          </w:tcPr>
          <w:p w14:paraId="6532885C" w14:textId="77777777" w:rsidR="00716831" w:rsidRPr="007B5CB6" w:rsidRDefault="00716831" w:rsidP="00716831">
            <w:pPr>
              <w:pStyle w:val="Paragraphedeliste"/>
              <w:numPr>
                <w:ilvl w:val="0"/>
                <w:numId w:val="10"/>
              </w:numPr>
              <w:rPr>
                <w:b/>
                <w:bCs/>
                <w:sz w:val="24"/>
                <w:szCs w:val="24"/>
              </w:rPr>
            </w:pPr>
            <w:r w:rsidRPr="007B5CB6">
              <w:rPr>
                <w:b/>
                <w:bCs/>
                <w:sz w:val="24"/>
                <w:szCs w:val="24"/>
              </w:rPr>
              <w:t>La subvention non-marchand a été divisée en deux mesures distinctes</w:t>
            </w:r>
          </w:p>
        </w:tc>
      </w:tr>
      <w:tr w:rsidR="00716831" w:rsidRPr="007B5CB6" w14:paraId="7909C6A8" w14:textId="77777777" w:rsidTr="00F2595A">
        <w:trPr>
          <w:trHeight w:val="1351"/>
        </w:trPr>
        <w:tc>
          <w:tcPr>
            <w:tcW w:w="13709" w:type="dxa"/>
            <w:vAlign w:val="center"/>
          </w:tcPr>
          <w:p w14:paraId="23051B46" w14:textId="47318E9C" w:rsidR="00716831" w:rsidRPr="007B5CB6" w:rsidRDefault="00716831" w:rsidP="007776D0">
            <w:pPr>
              <w:rPr>
                <w:sz w:val="24"/>
                <w:szCs w:val="24"/>
              </w:rPr>
            </w:pPr>
            <w:r w:rsidRPr="007B5CB6">
              <w:rPr>
                <w:sz w:val="24"/>
                <w:szCs w:val="24"/>
              </w:rPr>
              <w:t>Un premier arrêté</w:t>
            </w:r>
            <w:r w:rsidR="00B42A61">
              <w:rPr>
                <w:sz w:val="24"/>
                <w:szCs w:val="24"/>
              </w:rPr>
              <w:t xml:space="preserve">, le 2023/2554 </w:t>
            </w:r>
            <w:r w:rsidRPr="007B5CB6">
              <w:rPr>
                <w:sz w:val="24"/>
                <w:szCs w:val="24"/>
              </w:rPr>
              <w:t>octroie une subvention pour les frais de revalorisation salariale, de frais de formation, de secrétariat social et de frais de personnel.</w:t>
            </w:r>
          </w:p>
          <w:p w14:paraId="15F407B3" w14:textId="0741902A" w:rsidR="00716831" w:rsidRPr="007B5CB6" w:rsidRDefault="00716831" w:rsidP="007776D0">
            <w:pPr>
              <w:rPr>
                <w:sz w:val="24"/>
                <w:szCs w:val="24"/>
              </w:rPr>
            </w:pPr>
            <w:r w:rsidRPr="007B5CB6">
              <w:rPr>
                <w:sz w:val="24"/>
                <w:szCs w:val="24"/>
              </w:rPr>
              <w:t>Un deuxième arrêté</w:t>
            </w:r>
            <w:r w:rsidR="00B42A61">
              <w:rPr>
                <w:sz w:val="24"/>
                <w:szCs w:val="24"/>
              </w:rPr>
              <w:t>, le 2023/2714</w:t>
            </w:r>
            <w:r w:rsidRPr="007B5CB6">
              <w:rPr>
                <w:sz w:val="24"/>
                <w:szCs w:val="24"/>
              </w:rPr>
              <w:t xml:space="preserve"> octroie une subvention pour les frais relatifs à la prime de fin d’année et à la mobilité.</w:t>
            </w:r>
          </w:p>
          <w:p w14:paraId="4DD82B81" w14:textId="77777777" w:rsidR="00716831" w:rsidRPr="007B5CB6" w:rsidRDefault="00716831" w:rsidP="007776D0">
            <w:pPr>
              <w:rPr>
                <w:sz w:val="24"/>
                <w:szCs w:val="24"/>
              </w:rPr>
            </w:pPr>
            <w:r w:rsidRPr="007B5CB6">
              <w:rPr>
                <w:sz w:val="24"/>
                <w:szCs w:val="24"/>
              </w:rPr>
              <w:t>Ceci permettra l’attribution rapide l’année prochaine du premier arrêté sans devoir attendre la circulaire relative à la prime de fin d’année.</w:t>
            </w:r>
          </w:p>
        </w:tc>
      </w:tr>
      <w:tr w:rsidR="00716831" w:rsidRPr="007B5CB6" w14:paraId="1AD6117B" w14:textId="77777777" w:rsidTr="002572E1">
        <w:trPr>
          <w:trHeight w:val="454"/>
        </w:trPr>
        <w:tc>
          <w:tcPr>
            <w:tcW w:w="13709" w:type="dxa"/>
            <w:shd w:val="clear" w:color="auto" w:fill="C4C6C8" w:themeFill="accent3"/>
            <w:vAlign w:val="center"/>
          </w:tcPr>
          <w:p w14:paraId="07171039" w14:textId="77777777" w:rsidR="00716831" w:rsidRPr="007B5CB6" w:rsidRDefault="00716831" w:rsidP="00716831">
            <w:pPr>
              <w:pStyle w:val="Paragraphedeliste"/>
              <w:numPr>
                <w:ilvl w:val="0"/>
                <w:numId w:val="10"/>
              </w:numPr>
              <w:rPr>
                <w:b/>
                <w:bCs/>
                <w:sz w:val="24"/>
                <w:szCs w:val="24"/>
              </w:rPr>
            </w:pPr>
            <w:r w:rsidRPr="007B5CB6">
              <w:rPr>
                <w:b/>
                <w:bCs/>
                <w:sz w:val="24"/>
                <w:szCs w:val="24"/>
              </w:rPr>
              <w:t>Une concertation obligatoire est nécessaire avec les représentations syndicales, ou à défaut avec les membres de l’équipe</w:t>
            </w:r>
          </w:p>
        </w:tc>
      </w:tr>
      <w:tr w:rsidR="00716831" w:rsidRPr="007B5CB6" w14:paraId="648995F7" w14:textId="77777777" w:rsidTr="00F2595A">
        <w:trPr>
          <w:trHeight w:val="655"/>
        </w:trPr>
        <w:tc>
          <w:tcPr>
            <w:tcW w:w="13709" w:type="dxa"/>
            <w:vAlign w:val="center"/>
          </w:tcPr>
          <w:p w14:paraId="21696D0F" w14:textId="77777777" w:rsidR="00716831" w:rsidRPr="007B5CB6" w:rsidRDefault="00716831" w:rsidP="007776D0">
            <w:pPr>
              <w:rPr>
                <w:sz w:val="24"/>
                <w:szCs w:val="24"/>
              </w:rPr>
            </w:pPr>
            <w:r w:rsidRPr="007B5CB6">
              <w:rPr>
                <w:sz w:val="24"/>
                <w:szCs w:val="24"/>
              </w:rPr>
              <w:t>Avant de décider de la répartition de ces subventions, une discussion doit se tenir avec le personnel affecté à la cohésion sociale et si nécessaire avec les représentants syndicaux</w:t>
            </w:r>
          </w:p>
        </w:tc>
      </w:tr>
      <w:tr w:rsidR="00716831" w:rsidRPr="007B5CB6" w14:paraId="11CFD04F" w14:textId="77777777" w:rsidTr="002572E1">
        <w:trPr>
          <w:trHeight w:val="454"/>
        </w:trPr>
        <w:tc>
          <w:tcPr>
            <w:tcW w:w="13709" w:type="dxa"/>
            <w:shd w:val="clear" w:color="auto" w:fill="C4C6C8" w:themeFill="accent3"/>
            <w:vAlign w:val="center"/>
          </w:tcPr>
          <w:p w14:paraId="0D4B0371" w14:textId="77777777" w:rsidR="00716831" w:rsidRPr="007B5CB6" w:rsidRDefault="00716831" w:rsidP="00716831">
            <w:pPr>
              <w:pStyle w:val="Paragraphedeliste"/>
              <w:numPr>
                <w:ilvl w:val="0"/>
                <w:numId w:val="10"/>
              </w:numPr>
              <w:rPr>
                <w:b/>
                <w:bCs/>
                <w:sz w:val="24"/>
                <w:szCs w:val="24"/>
              </w:rPr>
            </w:pPr>
            <w:r w:rsidRPr="007B5CB6">
              <w:rPr>
                <w:b/>
                <w:bCs/>
                <w:sz w:val="24"/>
                <w:szCs w:val="24"/>
              </w:rPr>
              <w:t>Un ordre de priorité est défini</w:t>
            </w:r>
          </w:p>
        </w:tc>
      </w:tr>
      <w:tr w:rsidR="00716831" w:rsidRPr="007B5CB6" w14:paraId="303CA1A2" w14:textId="77777777" w:rsidTr="00F2595A">
        <w:trPr>
          <w:trHeight w:val="799"/>
        </w:trPr>
        <w:tc>
          <w:tcPr>
            <w:tcW w:w="13709" w:type="dxa"/>
            <w:vAlign w:val="center"/>
          </w:tcPr>
          <w:p w14:paraId="6C771A66" w14:textId="6F43CAE9" w:rsidR="00716831" w:rsidRPr="007B5CB6" w:rsidRDefault="00B42A61" w:rsidP="007776D0">
            <w:pPr>
              <w:rPr>
                <w:sz w:val="24"/>
                <w:szCs w:val="24"/>
              </w:rPr>
            </w:pPr>
            <w:r>
              <w:rPr>
                <w:sz w:val="24"/>
                <w:szCs w:val="24"/>
              </w:rPr>
              <w:t>Pour l’arrêté 2023/2554, l</w:t>
            </w:r>
            <w:r w:rsidR="00716831" w:rsidRPr="007B5CB6">
              <w:rPr>
                <w:sz w:val="24"/>
                <w:szCs w:val="24"/>
              </w:rPr>
              <w:t>a revalorisation salariale du personnel affecté à la cohésion doit être la priorité pour répartir cette subvention. Dans un second temps, les demandes/besoins de formation doivent être investigués également de manière prioritaire.</w:t>
            </w:r>
          </w:p>
        </w:tc>
      </w:tr>
      <w:tr w:rsidR="00716831" w:rsidRPr="007B5CB6" w14:paraId="39F2B6F5" w14:textId="77777777" w:rsidTr="002572E1">
        <w:trPr>
          <w:trHeight w:val="454"/>
        </w:trPr>
        <w:tc>
          <w:tcPr>
            <w:tcW w:w="13709" w:type="dxa"/>
            <w:shd w:val="clear" w:color="auto" w:fill="C4C6C8" w:themeFill="accent3"/>
            <w:vAlign w:val="center"/>
          </w:tcPr>
          <w:p w14:paraId="211190F4" w14:textId="77777777" w:rsidR="00716831" w:rsidRPr="007B5CB6" w:rsidRDefault="00716831" w:rsidP="00716831">
            <w:pPr>
              <w:pStyle w:val="Paragraphedeliste"/>
              <w:numPr>
                <w:ilvl w:val="0"/>
                <w:numId w:val="10"/>
              </w:numPr>
              <w:rPr>
                <w:b/>
                <w:bCs/>
                <w:sz w:val="24"/>
                <w:szCs w:val="24"/>
              </w:rPr>
            </w:pPr>
            <w:r w:rsidRPr="007B5CB6">
              <w:rPr>
                <w:b/>
                <w:bCs/>
                <w:sz w:val="24"/>
                <w:szCs w:val="24"/>
              </w:rPr>
              <w:t>Assouplissement de la possibilité de justification de cette subvention par des frais de personnel</w:t>
            </w:r>
          </w:p>
        </w:tc>
      </w:tr>
      <w:tr w:rsidR="00716831" w:rsidRPr="007B5CB6" w14:paraId="52ED5596" w14:textId="77777777" w:rsidTr="00F2595A">
        <w:trPr>
          <w:trHeight w:val="672"/>
        </w:trPr>
        <w:tc>
          <w:tcPr>
            <w:tcW w:w="13709" w:type="dxa"/>
            <w:vAlign w:val="center"/>
          </w:tcPr>
          <w:p w14:paraId="2F61B86F" w14:textId="60937639" w:rsidR="00716831" w:rsidRPr="007B5CB6" w:rsidRDefault="00B42A61" w:rsidP="007776D0">
            <w:pPr>
              <w:rPr>
                <w:sz w:val="24"/>
                <w:szCs w:val="24"/>
              </w:rPr>
            </w:pPr>
            <w:r>
              <w:rPr>
                <w:sz w:val="24"/>
                <w:szCs w:val="24"/>
              </w:rPr>
              <w:t>Pour l’arrêté 2023/2554, d</w:t>
            </w:r>
            <w:r w:rsidR="00716831" w:rsidRPr="007B5CB6">
              <w:rPr>
                <w:sz w:val="24"/>
                <w:szCs w:val="24"/>
              </w:rPr>
              <w:t>e manière subsidiaire à la revalorisation salariale et aux frais de formation, l’association peut justifier une partie des frais de personnel affecté à la cohésion sociale (maximum 23</w:t>
            </w:r>
            <w:r w:rsidR="002F4CBB">
              <w:rPr>
                <w:sz w:val="24"/>
                <w:szCs w:val="24"/>
              </w:rPr>
              <w:t>22</w:t>
            </w:r>
            <w:r w:rsidR="00716831" w:rsidRPr="007B5CB6">
              <w:rPr>
                <w:sz w:val="24"/>
                <w:szCs w:val="24"/>
              </w:rPr>
              <w:t>.</w:t>
            </w:r>
            <w:r w:rsidR="002F4CBB">
              <w:rPr>
                <w:sz w:val="24"/>
                <w:szCs w:val="24"/>
              </w:rPr>
              <w:t>03</w:t>
            </w:r>
            <w:r w:rsidR="00716831" w:rsidRPr="007B5CB6">
              <w:rPr>
                <w:sz w:val="24"/>
                <w:szCs w:val="24"/>
              </w:rPr>
              <w:t xml:space="preserve"> euros par ETP) si un budget reste disponible.</w:t>
            </w:r>
          </w:p>
        </w:tc>
      </w:tr>
      <w:tr w:rsidR="00716831" w:rsidRPr="007B5CB6" w14:paraId="75DE7FC5" w14:textId="77777777" w:rsidTr="002572E1">
        <w:trPr>
          <w:trHeight w:val="454"/>
        </w:trPr>
        <w:tc>
          <w:tcPr>
            <w:tcW w:w="13709" w:type="dxa"/>
            <w:shd w:val="clear" w:color="auto" w:fill="C4C6C8" w:themeFill="accent3"/>
            <w:vAlign w:val="center"/>
          </w:tcPr>
          <w:p w14:paraId="75F93E78" w14:textId="77777777" w:rsidR="00716831" w:rsidRPr="007B5CB6" w:rsidRDefault="00716831" w:rsidP="00716831">
            <w:pPr>
              <w:pStyle w:val="Paragraphedeliste"/>
              <w:numPr>
                <w:ilvl w:val="0"/>
                <w:numId w:val="10"/>
              </w:numPr>
              <w:rPr>
                <w:b/>
                <w:bCs/>
                <w:sz w:val="24"/>
                <w:szCs w:val="24"/>
              </w:rPr>
            </w:pPr>
            <w:r w:rsidRPr="007B5CB6">
              <w:rPr>
                <w:b/>
                <w:bCs/>
                <w:sz w:val="24"/>
                <w:szCs w:val="24"/>
              </w:rPr>
              <w:t>Changement de la date de dépôt des pièces justificatives pour le 31 mars 2024</w:t>
            </w:r>
          </w:p>
        </w:tc>
      </w:tr>
      <w:tr w:rsidR="00716831" w:rsidRPr="007B5CB6" w14:paraId="5922E712" w14:textId="77777777" w:rsidTr="00F2595A">
        <w:trPr>
          <w:trHeight w:val="805"/>
        </w:trPr>
        <w:tc>
          <w:tcPr>
            <w:tcW w:w="13709" w:type="dxa"/>
            <w:vAlign w:val="center"/>
          </w:tcPr>
          <w:p w14:paraId="73D8A445" w14:textId="77777777" w:rsidR="00716831" w:rsidRPr="007B5CB6" w:rsidRDefault="00716831" w:rsidP="007776D0">
            <w:pPr>
              <w:rPr>
                <w:sz w:val="24"/>
                <w:szCs w:val="24"/>
              </w:rPr>
            </w:pPr>
            <w:r w:rsidRPr="007B5CB6">
              <w:rPr>
                <w:sz w:val="24"/>
                <w:szCs w:val="24"/>
              </w:rPr>
              <w:t>Pour les deux arrêtés, l’ensemble des pièces justificatives est à déposer pour le 31 mars 2024 dans un objectif d’une meilleure compréhension du dispositif et de cohérence pour la finalisation de l’ensemble des dossiers justificatifs</w:t>
            </w:r>
          </w:p>
        </w:tc>
      </w:tr>
      <w:tr w:rsidR="00716831" w:rsidRPr="007B5CB6" w14:paraId="5C07ED0B" w14:textId="77777777" w:rsidTr="002572E1">
        <w:trPr>
          <w:trHeight w:val="454"/>
        </w:trPr>
        <w:tc>
          <w:tcPr>
            <w:tcW w:w="13709" w:type="dxa"/>
            <w:shd w:val="clear" w:color="auto" w:fill="C4C6C8" w:themeFill="accent3"/>
            <w:vAlign w:val="center"/>
          </w:tcPr>
          <w:p w14:paraId="2B078F0F" w14:textId="77777777" w:rsidR="00716831" w:rsidRPr="007B5CB6" w:rsidRDefault="00716831" w:rsidP="00716831">
            <w:pPr>
              <w:pStyle w:val="Paragraphedeliste"/>
              <w:numPr>
                <w:ilvl w:val="0"/>
                <w:numId w:val="10"/>
              </w:numPr>
              <w:rPr>
                <w:b/>
                <w:bCs/>
                <w:sz w:val="24"/>
                <w:szCs w:val="24"/>
              </w:rPr>
            </w:pPr>
            <w:r w:rsidRPr="007B5CB6">
              <w:rPr>
                <w:b/>
                <w:bCs/>
                <w:sz w:val="24"/>
                <w:szCs w:val="24"/>
              </w:rPr>
              <w:t>Revalorisation de l’enveloppe budgétaire totale dédiée à la mesure non-marchand</w:t>
            </w:r>
          </w:p>
        </w:tc>
      </w:tr>
      <w:tr w:rsidR="00716831" w:rsidRPr="007B5CB6" w14:paraId="05BC5893" w14:textId="77777777" w:rsidTr="002572E1">
        <w:trPr>
          <w:trHeight w:val="454"/>
        </w:trPr>
        <w:tc>
          <w:tcPr>
            <w:tcW w:w="13709" w:type="dxa"/>
            <w:vAlign w:val="center"/>
          </w:tcPr>
          <w:p w14:paraId="371D9A7C" w14:textId="38C7F3BC" w:rsidR="00716831" w:rsidRPr="007B5CB6" w:rsidRDefault="00716831" w:rsidP="007776D0">
            <w:pPr>
              <w:rPr>
                <w:sz w:val="24"/>
                <w:szCs w:val="24"/>
              </w:rPr>
            </w:pPr>
            <w:r w:rsidRPr="007B5CB6">
              <w:rPr>
                <w:sz w:val="24"/>
                <w:szCs w:val="24"/>
              </w:rPr>
              <w:t xml:space="preserve">Un budget total de 2.606.916 euros a été répartie </w:t>
            </w:r>
            <w:r w:rsidR="002F4CBB">
              <w:rPr>
                <w:sz w:val="24"/>
                <w:szCs w:val="24"/>
              </w:rPr>
              <w:t>entre</w:t>
            </w:r>
            <w:r w:rsidRPr="007B5CB6">
              <w:rPr>
                <w:sz w:val="24"/>
                <w:szCs w:val="24"/>
              </w:rPr>
              <w:t xml:space="preserve"> l’ensemble des opérateurs contre 1.724.308,92 euros l’année passée</w:t>
            </w:r>
          </w:p>
        </w:tc>
      </w:tr>
    </w:tbl>
    <w:p w14:paraId="041623B7" w14:textId="7AD42734" w:rsidR="002572E1" w:rsidRDefault="002572E1"/>
    <w:tbl>
      <w:tblPr>
        <w:tblStyle w:val="Grilledutableau"/>
        <w:tblW w:w="0" w:type="auto"/>
        <w:tblLook w:val="04A0" w:firstRow="1" w:lastRow="0" w:firstColumn="1" w:lastColumn="0" w:noHBand="0" w:noVBand="1"/>
      </w:tblPr>
      <w:tblGrid>
        <w:gridCol w:w="13709"/>
      </w:tblGrid>
      <w:tr w:rsidR="00716831" w:rsidRPr="007B5CB6" w14:paraId="52194C3D" w14:textId="77777777" w:rsidTr="002572E1">
        <w:trPr>
          <w:trHeight w:val="454"/>
        </w:trPr>
        <w:tc>
          <w:tcPr>
            <w:tcW w:w="13709" w:type="dxa"/>
            <w:shd w:val="clear" w:color="auto" w:fill="C4C6C8" w:themeFill="accent3"/>
            <w:vAlign w:val="center"/>
          </w:tcPr>
          <w:p w14:paraId="259EA47E" w14:textId="6AB6DBAB" w:rsidR="00716831" w:rsidRPr="007B5CB6" w:rsidRDefault="00716831" w:rsidP="00716831">
            <w:pPr>
              <w:pStyle w:val="Paragraphedeliste"/>
              <w:numPr>
                <w:ilvl w:val="0"/>
                <w:numId w:val="10"/>
              </w:numPr>
              <w:rPr>
                <w:b/>
                <w:bCs/>
                <w:sz w:val="24"/>
                <w:szCs w:val="24"/>
              </w:rPr>
            </w:pPr>
            <w:r w:rsidRPr="007B5CB6">
              <w:rPr>
                <w:b/>
                <w:bCs/>
                <w:sz w:val="24"/>
                <w:szCs w:val="24"/>
              </w:rPr>
              <w:lastRenderedPageBreak/>
              <w:t>Intégration des avantages relatifs à la mobilité</w:t>
            </w:r>
          </w:p>
        </w:tc>
      </w:tr>
      <w:tr w:rsidR="00716831" w:rsidRPr="007B5CB6" w14:paraId="103D5B11" w14:textId="77777777" w:rsidTr="005466F6">
        <w:trPr>
          <w:trHeight w:val="799"/>
        </w:trPr>
        <w:tc>
          <w:tcPr>
            <w:tcW w:w="13709" w:type="dxa"/>
            <w:vAlign w:val="center"/>
          </w:tcPr>
          <w:p w14:paraId="2F8EB187" w14:textId="15A22F15" w:rsidR="00716831" w:rsidRPr="007B5CB6" w:rsidRDefault="00B42A61" w:rsidP="007776D0">
            <w:pPr>
              <w:rPr>
                <w:sz w:val="24"/>
                <w:szCs w:val="24"/>
              </w:rPr>
            </w:pPr>
            <w:r>
              <w:rPr>
                <w:sz w:val="24"/>
                <w:szCs w:val="24"/>
              </w:rPr>
              <w:t xml:space="preserve">Pour l’arrêté/2714, </w:t>
            </w:r>
            <w:r w:rsidR="00716831" w:rsidRPr="007B5CB6">
              <w:rPr>
                <w:sz w:val="24"/>
                <w:szCs w:val="24"/>
              </w:rPr>
              <w:t>L’ASBL peut utiliser cette subvention pour la participation aux abonnements STIB du personnel affecté à la cohésion sociale</w:t>
            </w:r>
          </w:p>
        </w:tc>
      </w:tr>
      <w:tr w:rsidR="00716831" w:rsidRPr="007B5CB6" w14:paraId="25E09D45" w14:textId="77777777" w:rsidTr="002572E1">
        <w:trPr>
          <w:trHeight w:val="454"/>
        </w:trPr>
        <w:tc>
          <w:tcPr>
            <w:tcW w:w="13709" w:type="dxa"/>
            <w:shd w:val="clear" w:color="auto" w:fill="C4C6C8" w:themeFill="accent3"/>
            <w:vAlign w:val="center"/>
          </w:tcPr>
          <w:p w14:paraId="1CDB588B" w14:textId="77777777" w:rsidR="00716831" w:rsidRPr="007B5CB6" w:rsidRDefault="00716831" w:rsidP="00716831">
            <w:pPr>
              <w:pStyle w:val="Paragraphedeliste"/>
              <w:numPr>
                <w:ilvl w:val="0"/>
                <w:numId w:val="10"/>
              </w:numPr>
              <w:rPr>
                <w:b/>
                <w:bCs/>
                <w:sz w:val="24"/>
                <w:szCs w:val="24"/>
              </w:rPr>
            </w:pPr>
            <w:r w:rsidRPr="007B5CB6">
              <w:rPr>
                <w:b/>
                <w:bCs/>
                <w:sz w:val="24"/>
                <w:szCs w:val="24"/>
              </w:rPr>
              <w:t>Attribution d’une enveloppe à chaque opérateur reconnu ayant du personnel salarié affecté à la cohésion sociale</w:t>
            </w:r>
          </w:p>
        </w:tc>
      </w:tr>
      <w:tr w:rsidR="00716831" w:rsidRPr="007B5CB6" w14:paraId="16E697A1" w14:textId="77777777" w:rsidTr="00F2595A">
        <w:trPr>
          <w:trHeight w:val="1365"/>
        </w:trPr>
        <w:tc>
          <w:tcPr>
            <w:tcW w:w="13709" w:type="dxa"/>
            <w:vAlign w:val="center"/>
          </w:tcPr>
          <w:p w14:paraId="34FE3290" w14:textId="4E428FC4" w:rsidR="00716831" w:rsidRPr="007B5CB6" w:rsidRDefault="00716831" w:rsidP="007776D0">
            <w:pPr>
              <w:rPr>
                <w:sz w:val="24"/>
                <w:szCs w:val="24"/>
              </w:rPr>
            </w:pPr>
            <w:r w:rsidRPr="007B5CB6">
              <w:rPr>
                <w:sz w:val="24"/>
                <w:szCs w:val="24"/>
              </w:rPr>
              <w:t>Vu l’assouplissement des règles</w:t>
            </w:r>
            <w:r w:rsidR="002F4CBB">
              <w:rPr>
                <w:sz w:val="24"/>
                <w:szCs w:val="24"/>
              </w:rPr>
              <w:t xml:space="preserve"> du</w:t>
            </w:r>
            <w:r w:rsidRPr="007B5CB6">
              <w:rPr>
                <w:sz w:val="24"/>
                <w:szCs w:val="24"/>
              </w:rPr>
              <w:t xml:space="preserve"> non-marchand et </w:t>
            </w:r>
            <w:r w:rsidR="00B42A61">
              <w:rPr>
                <w:sz w:val="24"/>
                <w:szCs w:val="24"/>
              </w:rPr>
              <w:t>l’élargissement des justifications possibles</w:t>
            </w:r>
            <w:r w:rsidRPr="007B5CB6">
              <w:rPr>
                <w:sz w:val="24"/>
                <w:szCs w:val="24"/>
              </w:rPr>
              <w:t xml:space="preserve">, une subvention sera attribuée à chaque opérateur et </w:t>
            </w:r>
            <w:r w:rsidR="002F4CBB">
              <w:rPr>
                <w:sz w:val="24"/>
                <w:szCs w:val="24"/>
              </w:rPr>
              <w:t>la</w:t>
            </w:r>
            <w:r w:rsidRPr="007B5CB6">
              <w:rPr>
                <w:sz w:val="24"/>
                <w:szCs w:val="24"/>
              </w:rPr>
              <w:t xml:space="preserve"> question</w:t>
            </w:r>
            <w:r w:rsidR="002F4CBB">
              <w:rPr>
                <w:sz w:val="24"/>
                <w:szCs w:val="24"/>
              </w:rPr>
              <w:t xml:space="preserve"> « désirez-vous bénéficier des accords du non-marchand »</w:t>
            </w:r>
            <w:r w:rsidRPr="007B5CB6">
              <w:rPr>
                <w:sz w:val="24"/>
                <w:szCs w:val="24"/>
              </w:rPr>
              <w:t xml:space="preserve"> disparaitra de l’annexe 9. Néanmoins, les opérateurs peuvent adresser un courriel à </w:t>
            </w:r>
            <w:hyperlink r:id="rId11" w:history="1">
              <w:r w:rsidRPr="007B5CB6">
                <w:rPr>
                  <w:rStyle w:val="Lienhypertexte"/>
                  <w:sz w:val="24"/>
                  <w:szCs w:val="24"/>
                </w:rPr>
                <w:t>gtonon@spfb.brussels</w:t>
              </w:r>
            </w:hyperlink>
            <w:r w:rsidRPr="007B5CB6">
              <w:rPr>
                <w:sz w:val="24"/>
                <w:szCs w:val="24"/>
              </w:rPr>
              <w:t xml:space="preserve"> s’il désire être retir</w:t>
            </w:r>
            <w:r w:rsidR="002F4CBB">
              <w:rPr>
                <w:sz w:val="24"/>
                <w:szCs w:val="24"/>
              </w:rPr>
              <w:t>é</w:t>
            </w:r>
            <w:r w:rsidRPr="007B5CB6">
              <w:rPr>
                <w:sz w:val="24"/>
                <w:szCs w:val="24"/>
              </w:rPr>
              <w:t xml:space="preserve"> de cette liste et ne pas se voir octroyer une subvention non-marchand l’année prochaine.</w:t>
            </w:r>
          </w:p>
        </w:tc>
      </w:tr>
      <w:tr w:rsidR="00716831" w:rsidRPr="007B5CB6" w14:paraId="5362E942" w14:textId="77777777" w:rsidTr="002572E1">
        <w:trPr>
          <w:trHeight w:val="454"/>
        </w:trPr>
        <w:tc>
          <w:tcPr>
            <w:tcW w:w="13709" w:type="dxa"/>
            <w:shd w:val="clear" w:color="auto" w:fill="C4C6C8" w:themeFill="accent3"/>
            <w:vAlign w:val="center"/>
          </w:tcPr>
          <w:p w14:paraId="2753C2BF" w14:textId="77777777" w:rsidR="00716831" w:rsidRPr="007B5CB6" w:rsidRDefault="00716831" w:rsidP="00716831">
            <w:pPr>
              <w:pStyle w:val="Paragraphedeliste"/>
              <w:numPr>
                <w:ilvl w:val="0"/>
                <w:numId w:val="10"/>
              </w:numPr>
              <w:rPr>
                <w:b/>
                <w:bCs/>
                <w:sz w:val="24"/>
                <w:szCs w:val="24"/>
              </w:rPr>
            </w:pPr>
            <w:r w:rsidRPr="007B5CB6">
              <w:rPr>
                <w:b/>
                <w:bCs/>
                <w:sz w:val="24"/>
                <w:szCs w:val="24"/>
              </w:rPr>
              <w:t>Attention particulière à l’annexe 9 et au personnel indiqué comme affecté à la cohésion sociale</w:t>
            </w:r>
          </w:p>
        </w:tc>
      </w:tr>
      <w:tr w:rsidR="00716831" w:rsidRPr="007B5CB6" w14:paraId="3F49A0C4" w14:textId="77777777" w:rsidTr="005466F6">
        <w:trPr>
          <w:trHeight w:val="1793"/>
        </w:trPr>
        <w:tc>
          <w:tcPr>
            <w:tcW w:w="13709" w:type="dxa"/>
            <w:vAlign w:val="center"/>
          </w:tcPr>
          <w:p w14:paraId="33D16307" w14:textId="77777777" w:rsidR="00B42A61" w:rsidRDefault="00716831" w:rsidP="00B42A61">
            <w:pPr>
              <w:rPr>
                <w:b/>
                <w:bCs/>
                <w:sz w:val="24"/>
                <w:szCs w:val="24"/>
              </w:rPr>
            </w:pPr>
            <w:r w:rsidRPr="007B5CB6">
              <w:rPr>
                <w:sz w:val="24"/>
                <w:szCs w:val="24"/>
              </w:rPr>
              <w:t xml:space="preserve">Etant donné que cette subvention est calculée sur base du nombre d’ETP affecté à la cohésion sociale, l’arrêté stipule que dès 2024, l’annexe 9 qui sera </w:t>
            </w:r>
            <w:r w:rsidR="00B42A61">
              <w:rPr>
                <w:sz w:val="24"/>
                <w:szCs w:val="24"/>
              </w:rPr>
              <w:t>transmise</w:t>
            </w:r>
            <w:r w:rsidR="00E12F7D">
              <w:rPr>
                <w:sz w:val="24"/>
                <w:szCs w:val="24"/>
              </w:rPr>
              <w:t xml:space="preserve"> au 31 mars 2024</w:t>
            </w:r>
            <w:r w:rsidRPr="007B5CB6">
              <w:rPr>
                <w:sz w:val="24"/>
                <w:szCs w:val="24"/>
              </w:rPr>
              <w:t xml:space="preserve"> d</w:t>
            </w:r>
            <w:r w:rsidR="00B42A61">
              <w:rPr>
                <w:sz w:val="24"/>
                <w:szCs w:val="24"/>
              </w:rPr>
              <w:t>evra</w:t>
            </w:r>
            <w:r w:rsidRPr="007B5CB6">
              <w:rPr>
                <w:sz w:val="24"/>
                <w:szCs w:val="24"/>
              </w:rPr>
              <w:t xml:space="preserve"> mentionner clairement</w:t>
            </w:r>
            <w:r w:rsidR="00B42A61">
              <w:rPr>
                <w:sz w:val="24"/>
                <w:szCs w:val="24"/>
              </w:rPr>
              <w:t xml:space="preserve"> et uniquement</w:t>
            </w:r>
            <w:r w:rsidRPr="007B5CB6">
              <w:rPr>
                <w:sz w:val="24"/>
                <w:szCs w:val="24"/>
              </w:rPr>
              <w:t xml:space="preserve"> le personnel affecté au projet qui </w:t>
            </w:r>
            <w:r w:rsidR="00B42A61">
              <w:rPr>
                <w:sz w:val="24"/>
                <w:szCs w:val="24"/>
              </w:rPr>
              <w:t>bénéficiera d’un agrément</w:t>
            </w:r>
            <w:r w:rsidRPr="007B5CB6">
              <w:rPr>
                <w:b/>
                <w:bCs/>
                <w:sz w:val="24"/>
                <w:szCs w:val="24"/>
              </w:rPr>
              <w:t xml:space="preserve"> </w:t>
            </w:r>
            <w:r w:rsidR="00B42A61">
              <w:rPr>
                <w:b/>
                <w:bCs/>
                <w:sz w:val="24"/>
                <w:szCs w:val="24"/>
              </w:rPr>
              <w:t>dès</w:t>
            </w:r>
            <w:r w:rsidRPr="007B5CB6">
              <w:rPr>
                <w:b/>
                <w:bCs/>
                <w:sz w:val="24"/>
                <w:szCs w:val="24"/>
              </w:rPr>
              <w:t xml:space="preserve"> 2024</w:t>
            </w:r>
            <w:r w:rsidR="00B42A61">
              <w:rPr>
                <w:b/>
                <w:bCs/>
                <w:sz w:val="24"/>
                <w:szCs w:val="24"/>
              </w:rPr>
              <w:t xml:space="preserve">. </w:t>
            </w:r>
          </w:p>
          <w:p w14:paraId="2BC853F5" w14:textId="50902C16" w:rsidR="00716831" w:rsidRPr="007B5CB6" w:rsidRDefault="00716831" w:rsidP="00B42A61">
            <w:pPr>
              <w:rPr>
                <w:sz w:val="24"/>
                <w:szCs w:val="24"/>
              </w:rPr>
            </w:pPr>
            <w:r w:rsidRPr="007B5CB6">
              <w:rPr>
                <w:sz w:val="24"/>
                <w:szCs w:val="24"/>
              </w:rPr>
              <w:t>Un contrôle rigoureux sera effectué par le service gestionnaire</w:t>
            </w:r>
            <w:r w:rsidR="00B42A61">
              <w:rPr>
                <w:sz w:val="24"/>
                <w:szCs w:val="24"/>
              </w:rPr>
              <w:t xml:space="preserve"> afin de viser spécifiquement le personnel affecté au projet agréé en cohésion sociale et pas à l’ensemble des activités menées. </w:t>
            </w:r>
          </w:p>
        </w:tc>
      </w:tr>
      <w:tr w:rsidR="00B42A61" w:rsidRPr="007B5CB6" w14:paraId="2FAC4318" w14:textId="77777777" w:rsidTr="00B42A61">
        <w:trPr>
          <w:trHeight w:val="578"/>
        </w:trPr>
        <w:tc>
          <w:tcPr>
            <w:tcW w:w="13709" w:type="dxa"/>
            <w:shd w:val="clear" w:color="auto" w:fill="C4C6C8" w:themeFill="background2"/>
            <w:vAlign w:val="center"/>
          </w:tcPr>
          <w:p w14:paraId="659C13B0" w14:textId="1B431C18" w:rsidR="00B42A61" w:rsidRPr="00B42A61" w:rsidRDefault="00B42A61" w:rsidP="00B42A61">
            <w:pPr>
              <w:pStyle w:val="Paragraphedeliste"/>
              <w:numPr>
                <w:ilvl w:val="0"/>
                <w:numId w:val="10"/>
              </w:numPr>
              <w:rPr>
                <w:b/>
                <w:bCs/>
                <w:sz w:val="24"/>
                <w:szCs w:val="24"/>
              </w:rPr>
            </w:pPr>
            <w:r w:rsidRPr="00B42A61">
              <w:rPr>
                <w:b/>
                <w:bCs/>
                <w:sz w:val="24"/>
                <w:szCs w:val="24"/>
              </w:rPr>
              <w:t xml:space="preserve">Les avantages relatifs aux PFA et à la mobilité ne seront valorisables que pour le personnel affecté au projet agréé. </w:t>
            </w:r>
          </w:p>
        </w:tc>
      </w:tr>
      <w:tr w:rsidR="00B42A61" w:rsidRPr="007B5CB6" w14:paraId="7CB1D46D" w14:textId="77777777" w:rsidTr="005466F6">
        <w:trPr>
          <w:trHeight w:val="1245"/>
        </w:trPr>
        <w:tc>
          <w:tcPr>
            <w:tcW w:w="13709" w:type="dxa"/>
            <w:tcBorders>
              <w:bottom w:val="single" w:sz="4" w:space="0" w:color="auto"/>
            </w:tcBorders>
            <w:vAlign w:val="center"/>
          </w:tcPr>
          <w:p w14:paraId="799FA60A" w14:textId="030CC68E" w:rsidR="00B42A61" w:rsidRPr="007B5CB6" w:rsidRDefault="00B42A61" w:rsidP="00B42A61">
            <w:pPr>
              <w:rPr>
                <w:sz w:val="24"/>
                <w:szCs w:val="24"/>
              </w:rPr>
            </w:pPr>
            <w:r>
              <w:rPr>
                <w:sz w:val="24"/>
                <w:szCs w:val="24"/>
              </w:rPr>
              <w:t>Les budgets étant attribués en fonction du nombre d’ETP</w:t>
            </w:r>
            <w:r w:rsidR="005466F6">
              <w:rPr>
                <w:sz w:val="24"/>
                <w:szCs w:val="24"/>
              </w:rPr>
              <w:t xml:space="preserve"> affecté à l’action agréée</w:t>
            </w:r>
            <w:r>
              <w:rPr>
                <w:sz w:val="24"/>
                <w:szCs w:val="24"/>
              </w:rPr>
              <w:t xml:space="preserve"> dans chaque ASBL, les accords non-marchand en cohésion sociale concerne</w:t>
            </w:r>
            <w:r w:rsidR="002F4CBB">
              <w:rPr>
                <w:sz w:val="24"/>
                <w:szCs w:val="24"/>
              </w:rPr>
              <w:t>nt</w:t>
            </w:r>
            <w:r>
              <w:rPr>
                <w:sz w:val="24"/>
                <w:szCs w:val="24"/>
              </w:rPr>
              <w:t xml:space="preserve"> uniquement ce personnel. Dès lors une partie de la PFA de ces employés</w:t>
            </w:r>
            <w:r w:rsidR="005466F6">
              <w:rPr>
                <w:sz w:val="24"/>
                <w:szCs w:val="24"/>
              </w:rPr>
              <w:t xml:space="preserve"> uniquement</w:t>
            </w:r>
            <w:r>
              <w:rPr>
                <w:sz w:val="24"/>
                <w:szCs w:val="24"/>
              </w:rPr>
              <w:t xml:space="preserve"> pourra être justifiée via cette subvention. </w:t>
            </w:r>
          </w:p>
        </w:tc>
      </w:tr>
    </w:tbl>
    <w:p w14:paraId="32258A2C" w14:textId="77777777" w:rsidR="00716831" w:rsidRDefault="00716831" w:rsidP="00716831">
      <w:pPr>
        <w:rPr>
          <w:szCs w:val="24"/>
        </w:rPr>
      </w:pPr>
    </w:p>
    <w:p w14:paraId="136EF337" w14:textId="77777777" w:rsidR="00716831" w:rsidRDefault="00716831" w:rsidP="00716831">
      <w:pPr>
        <w:rPr>
          <w:szCs w:val="24"/>
        </w:rPr>
      </w:pPr>
    </w:p>
    <w:p w14:paraId="0700A6CD" w14:textId="247867DD" w:rsidR="00716831" w:rsidRDefault="00716831">
      <w:pPr>
        <w:rPr>
          <w:szCs w:val="24"/>
        </w:rPr>
      </w:pPr>
      <w:r>
        <w:rPr>
          <w:szCs w:val="24"/>
        </w:rPr>
        <w:br w:type="page"/>
      </w:r>
    </w:p>
    <w:p w14:paraId="1AE6F5EC" w14:textId="77777777" w:rsidR="00716831" w:rsidRPr="00E12F7D" w:rsidRDefault="00716831" w:rsidP="00716831">
      <w:pPr>
        <w:jc w:val="center"/>
        <w:rPr>
          <w:b/>
          <w:bCs/>
          <w:color w:val="0A00BE" w:themeColor="accent1"/>
          <w:sz w:val="28"/>
          <w:szCs w:val="28"/>
        </w:rPr>
      </w:pPr>
      <w:r w:rsidRPr="00E12F7D">
        <w:rPr>
          <w:b/>
          <w:bCs/>
          <w:color w:val="0A00BE" w:themeColor="accent1"/>
          <w:sz w:val="28"/>
          <w:szCs w:val="28"/>
        </w:rPr>
        <w:lastRenderedPageBreak/>
        <w:t>Récapitulatif</w:t>
      </w:r>
    </w:p>
    <w:p w14:paraId="3A35406F" w14:textId="77777777" w:rsidR="00716831" w:rsidRPr="00455EC6" w:rsidRDefault="00716831" w:rsidP="00716831">
      <w:pPr>
        <w:rPr>
          <w:sz w:val="10"/>
          <w:szCs w:val="12"/>
        </w:rPr>
      </w:pPr>
    </w:p>
    <w:tbl>
      <w:tblPr>
        <w:tblStyle w:val="Grilledutableau"/>
        <w:tblW w:w="0" w:type="auto"/>
        <w:tblLook w:val="04A0" w:firstRow="1" w:lastRow="0" w:firstColumn="1" w:lastColumn="0" w:noHBand="0" w:noVBand="1"/>
      </w:tblPr>
      <w:tblGrid>
        <w:gridCol w:w="2502"/>
        <w:gridCol w:w="2984"/>
        <w:gridCol w:w="2742"/>
        <w:gridCol w:w="2751"/>
        <w:gridCol w:w="2730"/>
      </w:tblGrid>
      <w:tr w:rsidR="00716831" w:rsidRPr="000C3766" w14:paraId="05563813" w14:textId="77777777" w:rsidTr="002572E1">
        <w:trPr>
          <w:trHeight w:val="454"/>
        </w:trPr>
        <w:tc>
          <w:tcPr>
            <w:tcW w:w="13709" w:type="dxa"/>
            <w:gridSpan w:val="5"/>
            <w:tcBorders>
              <w:top w:val="single" w:sz="4" w:space="0" w:color="auto"/>
            </w:tcBorders>
            <w:shd w:val="clear" w:color="auto" w:fill="FCEE25" w:themeFill="accent4"/>
            <w:vAlign w:val="center"/>
          </w:tcPr>
          <w:p w14:paraId="25D8B2F5" w14:textId="1C29DC7A" w:rsidR="00716831" w:rsidRPr="000C3766" w:rsidRDefault="00716831" w:rsidP="007776D0">
            <w:pPr>
              <w:jc w:val="center"/>
              <w:rPr>
                <w:b/>
                <w:bCs/>
                <w:sz w:val="24"/>
                <w:szCs w:val="24"/>
              </w:rPr>
            </w:pPr>
            <w:r w:rsidRPr="000C3766">
              <w:rPr>
                <w:b/>
                <w:bCs/>
                <w:sz w:val="24"/>
                <w:szCs w:val="24"/>
              </w:rPr>
              <w:t>Arrêté 2023/2554</w:t>
            </w:r>
            <w:r w:rsidR="005466F6">
              <w:rPr>
                <w:b/>
                <w:bCs/>
                <w:sz w:val="24"/>
                <w:szCs w:val="24"/>
              </w:rPr>
              <w:t>- justificatif</w:t>
            </w:r>
            <w:r w:rsidR="002F4CBB">
              <w:rPr>
                <w:b/>
                <w:bCs/>
                <w:sz w:val="24"/>
                <w:szCs w:val="24"/>
              </w:rPr>
              <w:t>s</w:t>
            </w:r>
            <w:r w:rsidR="005466F6">
              <w:rPr>
                <w:b/>
                <w:bCs/>
                <w:sz w:val="24"/>
                <w:szCs w:val="24"/>
              </w:rPr>
              <w:t xml:space="preserve"> à transmettre au contrôleur de justificatif de sa commune pour le 31 mars 2024</w:t>
            </w:r>
          </w:p>
        </w:tc>
      </w:tr>
      <w:tr w:rsidR="00716831" w:rsidRPr="000C3766" w14:paraId="294C415E" w14:textId="77777777" w:rsidTr="002572E1">
        <w:tc>
          <w:tcPr>
            <w:tcW w:w="2502" w:type="dxa"/>
            <w:tcBorders>
              <w:top w:val="single" w:sz="4" w:space="0" w:color="auto"/>
            </w:tcBorders>
            <w:shd w:val="clear" w:color="auto" w:fill="C4C6C8" w:themeFill="accent3"/>
            <w:vAlign w:val="center"/>
          </w:tcPr>
          <w:p w14:paraId="57B1E6ED" w14:textId="77777777" w:rsidR="00716831" w:rsidRPr="000C3766" w:rsidRDefault="00716831" w:rsidP="007776D0">
            <w:pPr>
              <w:jc w:val="center"/>
              <w:rPr>
                <w:b/>
                <w:bCs/>
                <w:sz w:val="24"/>
                <w:szCs w:val="24"/>
              </w:rPr>
            </w:pPr>
            <w:r w:rsidRPr="000C3766">
              <w:rPr>
                <w:b/>
                <w:bCs/>
                <w:sz w:val="24"/>
                <w:szCs w:val="24"/>
              </w:rPr>
              <w:t>Type de frais éligibles</w:t>
            </w:r>
          </w:p>
        </w:tc>
        <w:tc>
          <w:tcPr>
            <w:tcW w:w="2984" w:type="dxa"/>
            <w:tcBorders>
              <w:top w:val="single" w:sz="4" w:space="0" w:color="auto"/>
            </w:tcBorders>
            <w:shd w:val="clear" w:color="auto" w:fill="C4C6C8" w:themeFill="accent3"/>
            <w:vAlign w:val="center"/>
          </w:tcPr>
          <w:p w14:paraId="5EF4EA83" w14:textId="77777777" w:rsidR="00716831" w:rsidRPr="000C3766" w:rsidRDefault="00716831" w:rsidP="007776D0">
            <w:pPr>
              <w:jc w:val="center"/>
              <w:rPr>
                <w:b/>
                <w:bCs/>
                <w:sz w:val="24"/>
                <w:szCs w:val="24"/>
              </w:rPr>
            </w:pPr>
            <w:r w:rsidRPr="000C3766">
              <w:rPr>
                <w:b/>
                <w:bCs/>
                <w:sz w:val="24"/>
                <w:szCs w:val="24"/>
              </w:rPr>
              <w:t>Pièces justificatives à fournir</w:t>
            </w:r>
          </w:p>
        </w:tc>
        <w:tc>
          <w:tcPr>
            <w:tcW w:w="2742" w:type="dxa"/>
            <w:tcBorders>
              <w:top w:val="single" w:sz="4" w:space="0" w:color="auto"/>
            </w:tcBorders>
            <w:shd w:val="clear" w:color="auto" w:fill="C4C6C8" w:themeFill="accent3"/>
            <w:vAlign w:val="center"/>
          </w:tcPr>
          <w:p w14:paraId="74D58A50" w14:textId="77777777" w:rsidR="00716831" w:rsidRPr="000C3766" w:rsidRDefault="00716831" w:rsidP="007776D0">
            <w:pPr>
              <w:jc w:val="center"/>
              <w:rPr>
                <w:b/>
                <w:bCs/>
                <w:sz w:val="24"/>
                <w:szCs w:val="24"/>
              </w:rPr>
            </w:pPr>
            <w:r w:rsidRPr="000C3766">
              <w:rPr>
                <w:b/>
                <w:bCs/>
                <w:sz w:val="24"/>
                <w:szCs w:val="24"/>
              </w:rPr>
              <w:t>Bénéficiaires</w:t>
            </w:r>
          </w:p>
        </w:tc>
        <w:tc>
          <w:tcPr>
            <w:tcW w:w="2751" w:type="dxa"/>
            <w:tcBorders>
              <w:top w:val="single" w:sz="4" w:space="0" w:color="auto"/>
            </w:tcBorders>
            <w:shd w:val="clear" w:color="auto" w:fill="C4C6C8" w:themeFill="accent3"/>
            <w:vAlign w:val="center"/>
          </w:tcPr>
          <w:p w14:paraId="3F282064" w14:textId="77777777" w:rsidR="00716831" w:rsidRPr="000C3766" w:rsidRDefault="00716831" w:rsidP="007776D0">
            <w:pPr>
              <w:jc w:val="center"/>
              <w:rPr>
                <w:b/>
                <w:bCs/>
                <w:sz w:val="24"/>
                <w:szCs w:val="24"/>
              </w:rPr>
            </w:pPr>
            <w:r w:rsidRPr="000C3766">
              <w:rPr>
                <w:b/>
                <w:bCs/>
                <w:sz w:val="24"/>
                <w:szCs w:val="24"/>
              </w:rPr>
              <w:t>Période couverte</w:t>
            </w:r>
          </w:p>
        </w:tc>
        <w:tc>
          <w:tcPr>
            <w:tcW w:w="2730" w:type="dxa"/>
            <w:tcBorders>
              <w:top w:val="single" w:sz="4" w:space="0" w:color="auto"/>
            </w:tcBorders>
            <w:shd w:val="clear" w:color="auto" w:fill="C4C6C8" w:themeFill="accent3"/>
            <w:vAlign w:val="center"/>
          </w:tcPr>
          <w:p w14:paraId="016F6397" w14:textId="77777777" w:rsidR="00716831" w:rsidRPr="000C3766" w:rsidRDefault="00716831" w:rsidP="007776D0">
            <w:pPr>
              <w:jc w:val="center"/>
              <w:rPr>
                <w:b/>
                <w:bCs/>
                <w:sz w:val="24"/>
                <w:szCs w:val="24"/>
              </w:rPr>
            </w:pPr>
            <w:r w:rsidRPr="000C3766">
              <w:rPr>
                <w:b/>
                <w:bCs/>
                <w:sz w:val="24"/>
                <w:szCs w:val="24"/>
              </w:rPr>
              <w:t>Plafond</w:t>
            </w:r>
          </w:p>
        </w:tc>
      </w:tr>
      <w:tr w:rsidR="00716831" w:rsidRPr="000C3766" w14:paraId="5A04D67A" w14:textId="77777777" w:rsidTr="00CC7AD3">
        <w:trPr>
          <w:trHeight w:val="3188"/>
        </w:trPr>
        <w:tc>
          <w:tcPr>
            <w:tcW w:w="2502" w:type="dxa"/>
            <w:shd w:val="clear" w:color="auto" w:fill="C4C6C8" w:themeFill="accent3"/>
          </w:tcPr>
          <w:p w14:paraId="6D747EC0" w14:textId="77777777" w:rsidR="00716831" w:rsidRPr="000C3766" w:rsidRDefault="00716831" w:rsidP="002572E1">
            <w:pPr>
              <w:rPr>
                <w:sz w:val="24"/>
                <w:szCs w:val="24"/>
              </w:rPr>
            </w:pPr>
            <w:r w:rsidRPr="000C3766">
              <w:rPr>
                <w:b/>
                <w:bCs/>
                <w:sz w:val="24"/>
                <w:szCs w:val="24"/>
              </w:rPr>
              <w:t>Revalorisation salariale</w:t>
            </w:r>
            <w:r w:rsidRPr="000C3766">
              <w:rPr>
                <w:sz w:val="24"/>
                <w:szCs w:val="24"/>
              </w:rPr>
              <w:t xml:space="preserve"> :</w:t>
            </w:r>
          </w:p>
          <w:p w14:paraId="478702E0" w14:textId="77777777" w:rsidR="002572E1" w:rsidRPr="000C3766" w:rsidRDefault="002572E1" w:rsidP="002572E1">
            <w:pPr>
              <w:rPr>
                <w:sz w:val="24"/>
                <w:szCs w:val="24"/>
              </w:rPr>
            </w:pPr>
          </w:p>
          <w:p w14:paraId="292F7BA8" w14:textId="50CC452F" w:rsidR="00716831" w:rsidRPr="000C3766" w:rsidRDefault="00716831" w:rsidP="002572E1">
            <w:pPr>
              <w:rPr>
                <w:sz w:val="24"/>
                <w:szCs w:val="24"/>
              </w:rPr>
            </w:pPr>
            <w:r w:rsidRPr="000C3766">
              <w:rPr>
                <w:sz w:val="24"/>
                <w:szCs w:val="24"/>
              </w:rPr>
              <w:t>Prime de revalorisation</w:t>
            </w:r>
          </w:p>
          <w:p w14:paraId="1DA7AD7B" w14:textId="77777777" w:rsidR="00716831" w:rsidRPr="000C3766" w:rsidRDefault="00716831" w:rsidP="002572E1">
            <w:pPr>
              <w:rPr>
                <w:sz w:val="24"/>
                <w:szCs w:val="24"/>
              </w:rPr>
            </w:pPr>
          </w:p>
          <w:p w14:paraId="44B70C2B" w14:textId="77777777" w:rsidR="00716831" w:rsidRPr="000C3766" w:rsidRDefault="00716831" w:rsidP="002572E1">
            <w:pPr>
              <w:rPr>
                <w:sz w:val="24"/>
                <w:szCs w:val="24"/>
              </w:rPr>
            </w:pPr>
          </w:p>
          <w:p w14:paraId="59F3EA3F" w14:textId="77777777" w:rsidR="00716831" w:rsidRPr="000C3766" w:rsidRDefault="00716831" w:rsidP="002572E1">
            <w:pPr>
              <w:rPr>
                <w:sz w:val="24"/>
                <w:szCs w:val="24"/>
              </w:rPr>
            </w:pPr>
          </w:p>
          <w:p w14:paraId="7D6E496D" w14:textId="77777777" w:rsidR="00716831" w:rsidRPr="000C3766" w:rsidRDefault="00716831" w:rsidP="002572E1">
            <w:pPr>
              <w:rPr>
                <w:sz w:val="24"/>
                <w:szCs w:val="24"/>
              </w:rPr>
            </w:pPr>
            <w:r w:rsidRPr="000C3766">
              <w:rPr>
                <w:sz w:val="24"/>
                <w:szCs w:val="24"/>
              </w:rPr>
              <w:t>Modification barémique</w:t>
            </w:r>
          </w:p>
        </w:tc>
        <w:tc>
          <w:tcPr>
            <w:tcW w:w="2984" w:type="dxa"/>
            <w:vAlign w:val="center"/>
          </w:tcPr>
          <w:p w14:paraId="0B03D2F0" w14:textId="4C681A78" w:rsidR="00716831" w:rsidRPr="000C3766" w:rsidRDefault="00716831" w:rsidP="00CC7AD3">
            <w:pPr>
              <w:jc w:val="center"/>
              <w:rPr>
                <w:sz w:val="24"/>
                <w:szCs w:val="24"/>
              </w:rPr>
            </w:pPr>
            <w:r w:rsidRPr="000C3766">
              <w:rPr>
                <w:sz w:val="24"/>
                <w:szCs w:val="24"/>
              </w:rPr>
              <w:t>Relevé des primes + preuves de paiement +</w:t>
            </w:r>
            <w:r w:rsidR="002572E1" w:rsidRPr="000C3766">
              <w:rPr>
                <w:sz w:val="24"/>
                <w:szCs w:val="24"/>
              </w:rPr>
              <w:t xml:space="preserve"> </w:t>
            </w:r>
            <w:r w:rsidRPr="000C3766">
              <w:rPr>
                <w:sz w:val="24"/>
                <w:szCs w:val="24"/>
              </w:rPr>
              <w:t>attestation sur l’honneur (annexe 3) + justification (annexe 4)</w:t>
            </w:r>
          </w:p>
          <w:p w14:paraId="2CBFE9E0" w14:textId="77777777" w:rsidR="00716831" w:rsidRPr="000C3766" w:rsidRDefault="00716831" w:rsidP="00CC7AD3">
            <w:pPr>
              <w:jc w:val="center"/>
              <w:rPr>
                <w:sz w:val="24"/>
                <w:szCs w:val="24"/>
              </w:rPr>
            </w:pPr>
          </w:p>
          <w:p w14:paraId="597C020D" w14:textId="77777777" w:rsidR="00716831" w:rsidRPr="000C3766" w:rsidRDefault="00716831" w:rsidP="00CC7AD3">
            <w:pPr>
              <w:jc w:val="center"/>
              <w:rPr>
                <w:sz w:val="24"/>
                <w:szCs w:val="24"/>
              </w:rPr>
            </w:pPr>
            <w:r w:rsidRPr="000C3766">
              <w:rPr>
                <w:sz w:val="24"/>
                <w:szCs w:val="24"/>
              </w:rPr>
              <w:t>Fiches de salaire mentionnant clairement la partie relative au traitement initial et la partie correspondant à la revalorisation barémique + preuves de paiement</w:t>
            </w:r>
          </w:p>
        </w:tc>
        <w:tc>
          <w:tcPr>
            <w:tcW w:w="2742" w:type="dxa"/>
            <w:vAlign w:val="center"/>
          </w:tcPr>
          <w:p w14:paraId="05679819" w14:textId="6B5776DE" w:rsidR="00716831" w:rsidRPr="000C3766" w:rsidRDefault="00716831" w:rsidP="00CC7AD3">
            <w:pPr>
              <w:jc w:val="center"/>
              <w:rPr>
                <w:sz w:val="24"/>
                <w:szCs w:val="24"/>
              </w:rPr>
            </w:pPr>
            <w:r w:rsidRPr="000C3766">
              <w:rPr>
                <w:sz w:val="24"/>
                <w:szCs w:val="24"/>
              </w:rPr>
              <w:t>Personnel affecté à la cohésion sociale mentionné sur l’annexe 9</w:t>
            </w:r>
            <w:r w:rsidR="005466F6">
              <w:rPr>
                <w:sz w:val="24"/>
                <w:szCs w:val="24"/>
              </w:rPr>
              <w:t xml:space="preserve"> + personnel non affectés au projet de cohésion sociale mentionné sur l’annexe 9 (dans un souci d’équité de traitement)</w:t>
            </w:r>
          </w:p>
        </w:tc>
        <w:tc>
          <w:tcPr>
            <w:tcW w:w="2751" w:type="dxa"/>
            <w:vAlign w:val="center"/>
          </w:tcPr>
          <w:p w14:paraId="7242B5B8" w14:textId="77777777" w:rsidR="00716831" w:rsidRPr="000C3766" w:rsidRDefault="00716831" w:rsidP="00CC7AD3">
            <w:pPr>
              <w:jc w:val="center"/>
              <w:rPr>
                <w:sz w:val="24"/>
                <w:szCs w:val="24"/>
              </w:rPr>
            </w:pPr>
            <w:r w:rsidRPr="000C3766">
              <w:rPr>
                <w:sz w:val="24"/>
                <w:szCs w:val="24"/>
              </w:rPr>
              <w:t>Du 1 janvier au 31 décembre 2023</w:t>
            </w:r>
          </w:p>
          <w:p w14:paraId="04424E5B" w14:textId="77777777" w:rsidR="00716831" w:rsidRPr="000C3766" w:rsidRDefault="00716831" w:rsidP="00CC7AD3">
            <w:pPr>
              <w:pStyle w:val="Paragraphedeliste"/>
              <w:numPr>
                <w:ilvl w:val="0"/>
                <w:numId w:val="14"/>
              </w:numPr>
              <w:jc w:val="center"/>
              <w:rPr>
                <w:sz w:val="24"/>
                <w:szCs w:val="24"/>
              </w:rPr>
            </w:pPr>
            <w:r w:rsidRPr="000C3766">
              <w:rPr>
                <w:sz w:val="24"/>
                <w:szCs w:val="24"/>
              </w:rPr>
              <w:t>Liquidée avant le 28 février 2024</w:t>
            </w:r>
          </w:p>
        </w:tc>
        <w:tc>
          <w:tcPr>
            <w:tcW w:w="2730" w:type="dxa"/>
            <w:vAlign w:val="center"/>
          </w:tcPr>
          <w:p w14:paraId="7EC4ABEE" w14:textId="77777777" w:rsidR="00716831" w:rsidRPr="000C3766" w:rsidRDefault="00716831" w:rsidP="00CC7AD3">
            <w:pPr>
              <w:jc w:val="center"/>
              <w:rPr>
                <w:sz w:val="24"/>
                <w:szCs w:val="24"/>
              </w:rPr>
            </w:pPr>
            <w:r w:rsidRPr="000C3766">
              <w:rPr>
                <w:sz w:val="24"/>
                <w:szCs w:val="24"/>
              </w:rPr>
              <w:t>Barèmes non-marchand</w:t>
            </w:r>
          </w:p>
        </w:tc>
      </w:tr>
      <w:tr w:rsidR="00716831" w:rsidRPr="000C3766" w14:paraId="7D5DE064" w14:textId="77777777" w:rsidTr="002572E1">
        <w:trPr>
          <w:trHeight w:val="454"/>
        </w:trPr>
        <w:tc>
          <w:tcPr>
            <w:tcW w:w="13709" w:type="dxa"/>
            <w:gridSpan w:val="5"/>
            <w:shd w:val="clear" w:color="auto" w:fill="auto"/>
            <w:vAlign w:val="center"/>
          </w:tcPr>
          <w:p w14:paraId="06A4DA78" w14:textId="77777777" w:rsidR="00716831" w:rsidRPr="000C3766" w:rsidRDefault="00716831" w:rsidP="00716831">
            <w:pPr>
              <w:pStyle w:val="Paragraphedeliste"/>
              <w:numPr>
                <w:ilvl w:val="0"/>
                <w:numId w:val="14"/>
              </w:numPr>
              <w:rPr>
                <w:sz w:val="24"/>
                <w:szCs w:val="24"/>
              </w:rPr>
            </w:pPr>
            <w:r w:rsidRPr="000C3766">
              <w:rPr>
                <w:sz w:val="24"/>
                <w:szCs w:val="24"/>
              </w:rPr>
              <w:t>L’employé ne peut bénéficier d’accords non-marchand d’autres services de la COCOF ou d’autres pouvoirs subsidiants</w:t>
            </w:r>
          </w:p>
        </w:tc>
      </w:tr>
      <w:tr w:rsidR="00716831" w:rsidRPr="000C3766" w14:paraId="2A1CB8FC" w14:textId="77777777" w:rsidTr="00CC7AD3">
        <w:trPr>
          <w:trHeight w:val="1323"/>
        </w:trPr>
        <w:tc>
          <w:tcPr>
            <w:tcW w:w="2502" w:type="dxa"/>
            <w:shd w:val="clear" w:color="auto" w:fill="C4C6C8" w:themeFill="accent3"/>
            <w:vAlign w:val="center"/>
          </w:tcPr>
          <w:p w14:paraId="15766261" w14:textId="77777777" w:rsidR="00716831" w:rsidRPr="000C3766" w:rsidRDefault="00716831" w:rsidP="007776D0">
            <w:pPr>
              <w:rPr>
                <w:b/>
                <w:bCs/>
                <w:sz w:val="24"/>
                <w:szCs w:val="24"/>
              </w:rPr>
            </w:pPr>
            <w:r w:rsidRPr="000C3766">
              <w:rPr>
                <w:b/>
                <w:bCs/>
                <w:sz w:val="24"/>
                <w:szCs w:val="24"/>
              </w:rPr>
              <w:t>Frais de formation</w:t>
            </w:r>
          </w:p>
        </w:tc>
        <w:tc>
          <w:tcPr>
            <w:tcW w:w="2984" w:type="dxa"/>
            <w:vAlign w:val="center"/>
          </w:tcPr>
          <w:p w14:paraId="79A8D510" w14:textId="77777777" w:rsidR="00716831" w:rsidRPr="000C3766" w:rsidRDefault="00716831" w:rsidP="00CC7AD3">
            <w:pPr>
              <w:jc w:val="center"/>
              <w:rPr>
                <w:sz w:val="24"/>
                <w:szCs w:val="24"/>
              </w:rPr>
            </w:pPr>
            <w:r w:rsidRPr="000C3766">
              <w:rPr>
                <w:sz w:val="24"/>
                <w:szCs w:val="24"/>
              </w:rPr>
              <w:t>Factures + preuve de paiement + attestation sur l’honneur (annexe 6)</w:t>
            </w:r>
          </w:p>
        </w:tc>
        <w:tc>
          <w:tcPr>
            <w:tcW w:w="2742" w:type="dxa"/>
            <w:vAlign w:val="center"/>
          </w:tcPr>
          <w:p w14:paraId="5D02BEFF" w14:textId="77777777" w:rsidR="00716831" w:rsidRPr="000C3766" w:rsidRDefault="00716831" w:rsidP="00CC7AD3">
            <w:pPr>
              <w:jc w:val="center"/>
              <w:rPr>
                <w:sz w:val="24"/>
                <w:szCs w:val="24"/>
              </w:rPr>
            </w:pPr>
            <w:r w:rsidRPr="000C3766">
              <w:rPr>
                <w:sz w:val="24"/>
                <w:szCs w:val="24"/>
              </w:rPr>
              <w:t>Personnel affecté à la cohésion sociale uniquement et mentionné sur l’annexe 9</w:t>
            </w:r>
          </w:p>
        </w:tc>
        <w:tc>
          <w:tcPr>
            <w:tcW w:w="2751" w:type="dxa"/>
            <w:vAlign w:val="center"/>
          </w:tcPr>
          <w:p w14:paraId="4D6623F6" w14:textId="77777777" w:rsidR="00716831" w:rsidRPr="000C3766" w:rsidRDefault="00716831" w:rsidP="00CC7AD3">
            <w:pPr>
              <w:jc w:val="center"/>
              <w:rPr>
                <w:sz w:val="24"/>
                <w:szCs w:val="24"/>
              </w:rPr>
            </w:pPr>
            <w:r w:rsidRPr="000C3766">
              <w:rPr>
                <w:rStyle w:val="normaltextrun"/>
                <w:rFonts w:cstheme="minorHAnsi"/>
                <w:sz w:val="24"/>
                <w:szCs w:val="24"/>
                <w:lang w:val="fr-FR"/>
              </w:rPr>
              <w:t>Du 1 juillet 2023 au 31</w:t>
            </w:r>
            <w:r w:rsidRPr="000C3766">
              <w:rPr>
                <w:rStyle w:val="eop"/>
                <w:rFonts w:cstheme="minorHAnsi"/>
                <w:sz w:val="24"/>
                <w:szCs w:val="24"/>
              </w:rPr>
              <w:t xml:space="preserve"> décembre 2023</w:t>
            </w:r>
          </w:p>
        </w:tc>
        <w:tc>
          <w:tcPr>
            <w:tcW w:w="2730" w:type="dxa"/>
            <w:vAlign w:val="center"/>
          </w:tcPr>
          <w:p w14:paraId="627E80B6" w14:textId="5BAA627E" w:rsidR="00716831" w:rsidRPr="000C3766" w:rsidRDefault="00716831" w:rsidP="00CC7AD3">
            <w:pPr>
              <w:jc w:val="center"/>
              <w:rPr>
                <w:sz w:val="24"/>
                <w:szCs w:val="24"/>
              </w:rPr>
            </w:pPr>
            <w:r w:rsidRPr="000C3766">
              <w:rPr>
                <w:sz w:val="24"/>
                <w:szCs w:val="24"/>
              </w:rPr>
              <w:t>20 % de la subvention</w:t>
            </w:r>
            <w:r w:rsidR="005466F6">
              <w:rPr>
                <w:sz w:val="24"/>
                <w:szCs w:val="24"/>
              </w:rPr>
              <w:t xml:space="preserve"> maximum</w:t>
            </w:r>
          </w:p>
        </w:tc>
      </w:tr>
      <w:tr w:rsidR="00716831" w:rsidRPr="000C3766" w14:paraId="2633671C" w14:textId="77777777" w:rsidTr="002572E1">
        <w:tc>
          <w:tcPr>
            <w:tcW w:w="13709" w:type="dxa"/>
            <w:gridSpan w:val="5"/>
            <w:shd w:val="clear" w:color="auto" w:fill="auto"/>
            <w:vAlign w:val="center"/>
          </w:tcPr>
          <w:p w14:paraId="2AF1607C" w14:textId="77777777" w:rsidR="00716831" w:rsidRPr="000C3766" w:rsidRDefault="00716831" w:rsidP="00716831">
            <w:pPr>
              <w:pStyle w:val="Paragraphedeliste"/>
              <w:numPr>
                <w:ilvl w:val="0"/>
                <w:numId w:val="14"/>
              </w:numPr>
              <w:rPr>
                <w:sz w:val="24"/>
                <w:szCs w:val="24"/>
              </w:rPr>
            </w:pPr>
            <w:r w:rsidRPr="000C3766">
              <w:rPr>
                <w:rFonts w:ascii="Calibri" w:hAnsi="Calibri" w:cs="Calibri"/>
                <w:sz w:val="24"/>
                <w:szCs w:val="24"/>
              </w:rPr>
              <w:t>Le minerval ou les frais d’inscription relatifs à des formations continuées qualifiantes ne seront pas pris en charge</w:t>
            </w:r>
          </w:p>
          <w:p w14:paraId="090F2CB9" w14:textId="77D74ED9" w:rsidR="00716831" w:rsidRPr="000C3766" w:rsidRDefault="00716831" w:rsidP="00716831">
            <w:pPr>
              <w:pStyle w:val="Paragraphedeliste"/>
              <w:numPr>
                <w:ilvl w:val="0"/>
                <w:numId w:val="14"/>
              </w:numPr>
              <w:rPr>
                <w:sz w:val="24"/>
                <w:szCs w:val="24"/>
              </w:rPr>
            </w:pPr>
            <w:r w:rsidRPr="000C3766">
              <w:rPr>
                <w:rFonts w:ascii="Calibri" w:hAnsi="Calibri" w:cs="Calibri"/>
                <w:sz w:val="24"/>
                <w:szCs w:val="24"/>
              </w:rPr>
              <w:t xml:space="preserve">Mention </w:t>
            </w:r>
            <w:r w:rsidR="002F4CBB">
              <w:rPr>
                <w:rFonts w:ascii="Calibri" w:hAnsi="Calibri" w:cs="Calibri"/>
                <w:sz w:val="24"/>
                <w:szCs w:val="24"/>
              </w:rPr>
              <w:t>du nom du/des bénéficiaire(s) de la formation</w:t>
            </w:r>
          </w:p>
        </w:tc>
      </w:tr>
    </w:tbl>
    <w:p w14:paraId="22DE6C5B" w14:textId="77777777" w:rsidR="002572E1" w:rsidRDefault="002572E1">
      <w:r>
        <w:br w:type="page"/>
      </w:r>
    </w:p>
    <w:tbl>
      <w:tblPr>
        <w:tblStyle w:val="Grilledutableau"/>
        <w:tblW w:w="0" w:type="auto"/>
        <w:tblLook w:val="04A0" w:firstRow="1" w:lastRow="0" w:firstColumn="1" w:lastColumn="0" w:noHBand="0" w:noVBand="1"/>
      </w:tblPr>
      <w:tblGrid>
        <w:gridCol w:w="2502"/>
        <w:gridCol w:w="2984"/>
        <w:gridCol w:w="2742"/>
        <w:gridCol w:w="2751"/>
        <w:gridCol w:w="2730"/>
      </w:tblGrid>
      <w:tr w:rsidR="00716831" w:rsidRPr="000C3766" w14:paraId="6C396928" w14:textId="77777777" w:rsidTr="00CC7AD3">
        <w:trPr>
          <w:trHeight w:val="1261"/>
        </w:trPr>
        <w:tc>
          <w:tcPr>
            <w:tcW w:w="2502" w:type="dxa"/>
            <w:shd w:val="clear" w:color="auto" w:fill="C4C6C8" w:themeFill="accent3"/>
            <w:vAlign w:val="center"/>
          </w:tcPr>
          <w:p w14:paraId="1D0775F7" w14:textId="2BB03B44" w:rsidR="00716831" w:rsidRPr="000C3766" w:rsidRDefault="00716831" w:rsidP="007776D0">
            <w:pPr>
              <w:rPr>
                <w:b/>
                <w:bCs/>
                <w:sz w:val="24"/>
                <w:szCs w:val="24"/>
              </w:rPr>
            </w:pPr>
            <w:r w:rsidRPr="000C3766">
              <w:rPr>
                <w:b/>
                <w:bCs/>
                <w:sz w:val="24"/>
                <w:szCs w:val="24"/>
              </w:rPr>
              <w:lastRenderedPageBreak/>
              <w:t>Frais de secrétariat social</w:t>
            </w:r>
          </w:p>
        </w:tc>
        <w:tc>
          <w:tcPr>
            <w:tcW w:w="2984" w:type="dxa"/>
            <w:vAlign w:val="center"/>
          </w:tcPr>
          <w:p w14:paraId="42454193" w14:textId="77777777" w:rsidR="00716831" w:rsidRPr="000C3766" w:rsidRDefault="00716831" w:rsidP="00CC7AD3">
            <w:pPr>
              <w:jc w:val="center"/>
              <w:rPr>
                <w:sz w:val="24"/>
                <w:szCs w:val="24"/>
              </w:rPr>
            </w:pPr>
            <w:r w:rsidRPr="000C3766">
              <w:rPr>
                <w:sz w:val="24"/>
                <w:szCs w:val="24"/>
              </w:rPr>
              <w:t>Factures + preuve de paiement</w:t>
            </w:r>
          </w:p>
        </w:tc>
        <w:tc>
          <w:tcPr>
            <w:tcW w:w="2742" w:type="dxa"/>
            <w:vAlign w:val="center"/>
          </w:tcPr>
          <w:p w14:paraId="75F16AC2" w14:textId="77777777" w:rsidR="00716831" w:rsidRPr="000C3766" w:rsidRDefault="00716831" w:rsidP="00CC7AD3">
            <w:pPr>
              <w:jc w:val="center"/>
              <w:rPr>
                <w:sz w:val="24"/>
                <w:szCs w:val="24"/>
              </w:rPr>
            </w:pPr>
            <w:r w:rsidRPr="000C3766">
              <w:rPr>
                <w:sz w:val="24"/>
                <w:szCs w:val="24"/>
              </w:rPr>
              <w:t>Personnel affecté à la cohésion sociale uniquement et mentionné sur l’annexe 9</w:t>
            </w:r>
          </w:p>
        </w:tc>
        <w:tc>
          <w:tcPr>
            <w:tcW w:w="2751" w:type="dxa"/>
            <w:vAlign w:val="center"/>
          </w:tcPr>
          <w:p w14:paraId="499983D2" w14:textId="77777777" w:rsidR="00716831" w:rsidRPr="000C3766" w:rsidRDefault="00716831" w:rsidP="00CC7AD3">
            <w:pPr>
              <w:jc w:val="center"/>
              <w:rPr>
                <w:sz w:val="24"/>
                <w:szCs w:val="24"/>
              </w:rPr>
            </w:pPr>
            <w:r w:rsidRPr="000C3766">
              <w:rPr>
                <w:sz w:val="24"/>
                <w:szCs w:val="24"/>
              </w:rPr>
              <w:t>Du 1 janvier au 31 décembre 2023</w:t>
            </w:r>
          </w:p>
          <w:p w14:paraId="2162E622" w14:textId="77777777" w:rsidR="00716831" w:rsidRPr="000C3766" w:rsidRDefault="00716831" w:rsidP="00CC7AD3">
            <w:pPr>
              <w:jc w:val="center"/>
              <w:rPr>
                <w:sz w:val="24"/>
                <w:szCs w:val="24"/>
              </w:rPr>
            </w:pPr>
          </w:p>
        </w:tc>
        <w:tc>
          <w:tcPr>
            <w:tcW w:w="2730" w:type="dxa"/>
            <w:vAlign w:val="center"/>
          </w:tcPr>
          <w:p w14:paraId="6A236DD5" w14:textId="40A0DAFF" w:rsidR="00716831" w:rsidRPr="000C3766" w:rsidRDefault="00716831" w:rsidP="00CC7AD3">
            <w:pPr>
              <w:jc w:val="center"/>
              <w:rPr>
                <w:sz w:val="24"/>
                <w:szCs w:val="24"/>
              </w:rPr>
            </w:pPr>
            <w:r w:rsidRPr="000C3766">
              <w:rPr>
                <w:sz w:val="24"/>
                <w:szCs w:val="24"/>
              </w:rPr>
              <w:t>100 euros par ETP</w:t>
            </w:r>
            <w:r w:rsidR="005466F6">
              <w:rPr>
                <w:sz w:val="24"/>
                <w:szCs w:val="24"/>
              </w:rPr>
              <w:t xml:space="preserve"> maximum</w:t>
            </w:r>
          </w:p>
        </w:tc>
      </w:tr>
      <w:tr w:rsidR="00716831" w:rsidRPr="000C3766" w14:paraId="49DF401B" w14:textId="77777777" w:rsidTr="00CC7AD3">
        <w:trPr>
          <w:trHeight w:val="1318"/>
        </w:trPr>
        <w:tc>
          <w:tcPr>
            <w:tcW w:w="2502" w:type="dxa"/>
            <w:shd w:val="clear" w:color="auto" w:fill="C4C6C8" w:themeFill="accent3"/>
            <w:vAlign w:val="center"/>
          </w:tcPr>
          <w:p w14:paraId="71840922" w14:textId="77777777" w:rsidR="00716831" w:rsidRPr="000C3766" w:rsidRDefault="00716831" w:rsidP="007776D0">
            <w:pPr>
              <w:rPr>
                <w:b/>
                <w:bCs/>
                <w:sz w:val="24"/>
                <w:szCs w:val="24"/>
              </w:rPr>
            </w:pPr>
            <w:r w:rsidRPr="000C3766">
              <w:rPr>
                <w:b/>
                <w:bCs/>
                <w:sz w:val="24"/>
                <w:szCs w:val="24"/>
              </w:rPr>
              <w:t>Frais de personnel</w:t>
            </w:r>
          </w:p>
        </w:tc>
        <w:tc>
          <w:tcPr>
            <w:tcW w:w="2984" w:type="dxa"/>
            <w:vAlign w:val="center"/>
          </w:tcPr>
          <w:p w14:paraId="715F42E0" w14:textId="77777777" w:rsidR="00716831" w:rsidRPr="000C3766" w:rsidRDefault="00716831" w:rsidP="00CC7AD3">
            <w:pPr>
              <w:jc w:val="center"/>
              <w:rPr>
                <w:sz w:val="24"/>
                <w:szCs w:val="24"/>
              </w:rPr>
            </w:pPr>
            <w:r w:rsidRPr="000C3766">
              <w:rPr>
                <w:sz w:val="24"/>
                <w:szCs w:val="24"/>
              </w:rPr>
              <w:t>Fiches de salaire + preuves de paiement</w:t>
            </w:r>
          </w:p>
        </w:tc>
        <w:tc>
          <w:tcPr>
            <w:tcW w:w="2742" w:type="dxa"/>
            <w:vAlign w:val="center"/>
          </w:tcPr>
          <w:p w14:paraId="6E95905F" w14:textId="77777777" w:rsidR="00716831" w:rsidRPr="000C3766" w:rsidRDefault="00716831" w:rsidP="00CC7AD3">
            <w:pPr>
              <w:jc w:val="center"/>
              <w:rPr>
                <w:sz w:val="24"/>
                <w:szCs w:val="24"/>
              </w:rPr>
            </w:pPr>
            <w:r w:rsidRPr="000C3766">
              <w:rPr>
                <w:sz w:val="24"/>
                <w:szCs w:val="24"/>
              </w:rPr>
              <w:t>Personnel affecté à la cohésion sociale uniquement et mentionné sur l’annexe 9</w:t>
            </w:r>
          </w:p>
        </w:tc>
        <w:tc>
          <w:tcPr>
            <w:tcW w:w="2751" w:type="dxa"/>
            <w:vAlign w:val="center"/>
          </w:tcPr>
          <w:p w14:paraId="7AD0763B" w14:textId="77777777" w:rsidR="00716831" w:rsidRPr="000C3766" w:rsidRDefault="00716831" w:rsidP="00CC7AD3">
            <w:pPr>
              <w:jc w:val="center"/>
              <w:rPr>
                <w:sz w:val="24"/>
                <w:szCs w:val="24"/>
              </w:rPr>
            </w:pPr>
            <w:r w:rsidRPr="000C3766">
              <w:rPr>
                <w:sz w:val="24"/>
                <w:szCs w:val="24"/>
              </w:rPr>
              <w:t>Du 1 janvier au 31 décembre 2023</w:t>
            </w:r>
          </w:p>
          <w:p w14:paraId="2A54C107" w14:textId="77777777" w:rsidR="00716831" w:rsidRPr="000C3766" w:rsidRDefault="00716831" w:rsidP="00CC7AD3">
            <w:pPr>
              <w:jc w:val="center"/>
              <w:rPr>
                <w:sz w:val="24"/>
                <w:szCs w:val="24"/>
              </w:rPr>
            </w:pPr>
          </w:p>
        </w:tc>
        <w:tc>
          <w:tcPr>
            <w:tcW w:w="2730" w:type="dxa"/>
            <w:vAlign w:val="center"/>
          </w:tcPr>
          <w:p w14:paraId="107DEC4F" w14:textId="298A3083" w:rsidR="00716831" w:rsidRPr="000C3766" w:rsidRDefault="00716831" w:rsidP="00CC7AD3">
            <w:pPr>
              <w:jc w:val="center"/>
              <w:rPr>
                <w:sz w:val="24"/>
                <w:szCs w:val="24"/>
              </w:rPr>
            </w:pPr>
            <w:r w:rsidRPr="000C3766">
              <w:rPr>
                <w:sz w:val="24"/>
                <w:szCs w:val="24"/>
              </w:rPr>
              <w:t>23</w:t>
            </w:r>
            <w:r w:rsidR="005466F6">
              <w:rPr>
                <w:sz w:val="24"/>
                <w:szCs w:val="24"/>
              </w:rPr>
              <w:t>22</w:t>
            </w:r>
            <w:r w:rsidRPr="000C3766">
              <w:rPr>
                <w:sz w:val="24"/>
                <w:szCs w:val="24"/>
              </w:rPr>
              <w:t>,</w:t>
            </w:r>
            <w:r w:rsidR="005466F6">
              <w:rPr>
                <w:sz w:val="24"/>
                <w:szCs w:val="24"/>
              </w:rPr>
              <w:t>03</w:t>
            </w:r>
            <w:r w:rsidRPr="000C3766">
              <w:rPr>
                <w:sz w:val="24"/>
                <w:szCs w:val="24"/>
              </w:rPr>
              <w:t xml:space="preserve"> euros par ETP</w:t>
            </w:r>
            <w:r w:rsidR="005466F6">
              <w:rPr>
                <w:sz w:val="24"/>
                <w:szCs w:val="24"/>
              </w:rPr>
              <w:t xml:space="preserve"> maximum</w:t>
            </w:r>
          </w:p>
        </w:tc>
      </w:tr>
      <w:tr w:rsidR="00716831" w:rsidRPr="000C3766" w14:paraId="1E4E620F" w14:textId="77777777" w:rsidTr="002572E1">
        <w:trPr>
          <w:trHeight w:val="1070"/>
        </w:trPr>
        <w:tc>
          <w:tcPr>
            <w:tcW w:w="13709" w:type="dxa"/>
            <w:gridSpan w:val="5"/>
            <w:vAlign w:val="center"/>
          </w:tcPr>
          <w:p w14:paraId="6C2BE3CD" w14:textId="7A7B86B5" w:rsidR="002F4CBB" w:rsidRDefault="005466F6" w:rsidP="002F4CBB">
            <w:pPr>
              <w:pStyle w:val="Paragraphedeliste"/>
              <w:numPr>
                <w:ilvl w:val="0"/>
                <w:numId w:val="14"/>
              </w:numPr>
              <w:rPr>
                <w:rStyle w:val="eop"/>
                <w:sz w:val="24"/>
                <w:szCs w:val="24"/>
              </w:rPr>
            </w:pPr>
            <w:r>
              <w:rPr>
                <w:rStyle w:val="eop"/>
                <w:sz w:val="24"/>
                <w:szCs w:val="24"/>
              </w:rPr>
              <w:t xml:space="preserve">Les frais de secrétariat social et les </w:t>
            </w:r>
            <w:r w:rsidR="002F4CBB">
              <w:rPr>
                <w:rStyle w:val="eop"/>
                <w:sz w:val="24"/>
                <w:szCs w:val="24"/>
              </w:rPr>
              <w:t>f</w:t>
            </w:r>
            <w:r w:rsidR="002F4CBB">
              <w:rPr>
                <w:rStyle w:val="eop"/>
              </w:rPr>
              <w:t>rais de personnel sont moins prioritaires que les autres</w:t>
            </w:r>
            <w:r w:rsidR="00716831" w:rsidRPr="000C3766">
              <w:rPr>
                <w:rStyle w:val="eop"/>
                <w:sz w:val="24"/>
                <w:szCs w:val="24"/>
              </w:rPr>
              <w:t xml:space="preserve"> types de frais éligibles (revalorisation salariale et frais de formation)</w:t>
            </w:r>
            <w:r w:rsidR="002F4CBB">
              <w:rPr>
                <w:rStyle w:val="eop"/>
                <w:sz w:val="24"/>
                <w:szCs w:val="24"/>
              </w:rPr>
              <w:t>.</w:t>
            </w:r>
          </w:p>
          <w:p w14:paraId="053D5E11" w14:textId="7804D352" w:rsidR="00716831" w:rsidRPr="000C3766" w:rsidRDefault="00716831" w:rsidP="002F4CBB">
            <w:pPr>
              <w:pStyle w:val="Paragraphedeliste"/>
              <w:numPr>
                <w:ilvl w:val="0"/>
                <w:numId w:val="14"/>
              </w:numPr>
              <w:rPr>
                <w:sz w:val="24"/>
                <w:szCs w:val="24"/>
              </w:rPr>
            </w:pPr>
            <w:r w:rsidRPr="000C3766">
              <w:rPr>
                <w:rStyle w:val="eop"/>
                <w:rFonts w:cstheme="minorHAnsi"/>
                <w:sz w:val="24"/>
                <w:szCs w:val="24"/>
              </w:rPr>
              <w:t>Un cachet de ventilation entre la partie justifiée via cette subvention, la partie justifiée par le subside cohésion sociale et l’éventuelle partie justifiée par d’autres subventions devra figurer sur la fiche de paie</w:t>
            </w:r>
          </w:p>
        </w:tc>
      </w:tr>
    </w:tbl>
    <w:p w14:paraId="40148F8C" w14:textId="77777777" w:rsidR="00716831" w:rsidRDefault="00716831" w:rsidP="00716831"/>
    <w:tbl>
      <w:tblPr>
        <w:tblStyle w:val="Grilledutableau"/>
        <w:tblW w:w="0" w:type="auto"/>
        <w:tblLook w:val="04A0" w:firstRow="1" w:lastRow="0" w:firstColumn="1" w:lastColumn="0" w:noHBand="0" w:noVBand="1"/>
      </w:tblPr>
      <w:tblGrid>
        <w:gridCol w:w="2474"/>
        <w:gridCol w:w="2997"/>
        <w:gridCol w:w="2733"/>
        <w:gridCol w:w="2747"/>
        <w:gridCol w:w="2758"/>
      </w:tblGrid>
      <w:tr w:rsidR="00716831" w:rsidRPr="000C3766" w14:paraId="2B75A621" w14:textId="77777777" w:rsidTr="002572E1">
        <w:trPr>
          <w:trHeight w:val="454"/>
        </w:trPr>
        <w:tc>
          <w:tcPr>
            <w:tcW w:w="13994" w:type="dxa"/>
            <w:gridSpan w:val="5"/>
            <w:shd w:val="clear" w:color="auto" w:fill="FCEE25" w:themeFill="accent4"/>
            <w:vAlign w:val="center"/>
          </w:tcPr>
          <w:p w14:paraId="6FD3CD3E" w14:textId="77777777" w:rsidR="00716831" w:rsidRPr="000C3766" w:rsidRDefault="00716831" w:rsidP="007776D0">
            <w:pPr>
              <w:jc w:val="center"/>
              <w:rPr>
                <w:b/>
                <w:bCs/>
                <w:sz w:val="24"/>
                <w:szCs w:val="24"/>
              </w:rPr>
            </w:pPr>
            <w:r w:rsidRPr="000C3766">
              <w:rPr>
                <w:b/>
                <w:bCs/>
                <w:sz w:val="24"/>
                <w:szCs w:val="24"/>
              </w:rPr>
              <w:t>Arrêté 2023/2714</w:t>
            </w:r>
          </w:p>
        </w:tc>
      </w:tr>
      <w:tr w:rsidR="00716831" w:rsidRPr="000C3766" w14:paraId="17F7C867" w14:textId="77777777" w:rsidTr="002572E1">
        <w:tc>
          <w:tcPr>
            <w:tcW w:w="2547" w:type="dxa"/>
            <w:tcBorders>
              <w:top w:val="single" w:sz="4" w:space="0" w:color="auto"/>
            </w:tcBorders>
            <w:shd w:val="clear" w:color="auto" w:fill="C4C6C8" w:themeFill="accent3"/>
            <w:vAlign w:val="center"/>
          </w:tcPr>
          <w:p w14:paraId="5B731B53" w14:textId="77777777" w:rsidR="00716831" w:rsidRPr="000C3766" w:rsidRDefault="00716831" w:rsidP="007776D0">
            <w:pPr>
              <w:jc w:val="center"/>
              <w:rPr>
                <w:b/>
                <w:bCs/>
                <w:sz w:val="24"/>
                <w:szCs w:val="24"/>
              </w:rPr>
            </w:pPr>
            <w:r w:rsidRPr="000C3766">
              <w:rPr>
                <w:b/>
                <w:bCs/>
                <w:sz w:val="24"/>
                <w:szCs w:val="24"/>
              </w:rPr>
              <w:t>Type de frais éligibles</w:t>
            </w:r>
          </w:p>
        </w:tc>
        <w:tc>
          <w:tcPr>
            <w:tcW w:w="3050" w:type="dxa"/>
            <w:tcBorders>
              <w:top w:val="single" w:sz="4" w:space="0" w:color="auto"/>
            </w:tcBorders>
            <w:shd w:val="clear" w:color="auto" w:fill="C4C6C8" w:themeFill="accent3"/>
            <w:vAlign w:val="center"/>
          </w:tcPr>
          <w:p w14:paraId="69EC2919" w14:textId="77777777" w:rsidR="00716831" w:rsidRPr="000C3766" w:rsidRDefault="00716831" w:rsidP="007776D0">
            <w:pPr>
              <w:jc w:val="center"/>
              <w:rPr>
                <w:b/>
                <w:bCs/>
                <w:sz w:val="24"/>
                <w:szCs w:val="24"/>
              </w:rPr>
            </w:pPr>
            <w:r w:rsidRPr="000C3766">
              <w:rPr>
                <w:b/>
                <w:bCs/>
                <w:sz w:val="24"/>
                <w:szCs w:val="24"/>
              </w:rPr>
              <w:t>Pièces justificatives à fournir</w:t>
            </w:r>
          </w:p>
        </w:tc>
        <w:tc>
          <w:tcPr>
            <w:tcW w:w="2799" w:type="dxa"/>
            <w:tcBorders>
              <w:top w:val="single" w:sz="4" w:space="0" w:color="auto"/>
            </w:tcBorders>
            <w:shd w:val="clear" w:color="auto" w:fill="C4C6C8" w:themeFill="accent3"/>
            <w:vAlign w:val="center"/>
          </w:tcPr>
          <w:p w14:paraId="23F19E24" w14:textId="77777777" w:rsidR="00716831" w:rsidRPr="000C3766" w:rsidRDefault="00716831" w:rsidP="007776D0">
            <w:pPr>
              <w:jc w:val="center"/>
              <w:rPr>
                <w:b/>
                <w:bCs/>
                <w:sz w:val="24"/>
                <w:szCs w:val="24"/>
              </w:rPr>
            </w:pPr>
            <w:r w:rsidRPr="000C3766">
              <w:rPr>
                <w:b/>
                <w:bCs/>
                <w:sz w:val="24"/>
                <w:szCs w:val="24"/>
              </w:rPr>
              <w:t>Bénéficiaires</w:t>
            </w:r>
          </w:p>
        </w:tc>
        <w:tc>
          <w:tcPr>
            <w:tcW w:w="2799" w:type="dxa"/>
            <w:tcBorders>
              <w:top w:val="single" w:sz="4" w:space="0" w:color="auto"/>
            </w:tcBorders>
            <w:shd w:val="clear" w:color="auto" w:fill="C4C6C8" w:themeFill="accent3"/>
            <w:vAlign w:val="center"/>
          </w:tcPr>
          <w:p w14:paraId="074CA0CD" w14:textId="77777777" w:rsidR="00716831" w:rsidRPr="000C3766" w:rsidRDefault="00716831" w:rsidP="007776D0">
            <w:pPr>
              <w:jc w:val="center"/>
              <w:rPr>
                <w:b/>
                <w:bCs/>
                <w:sz w:val="24"/>
                <w:szCs w:val="24"/>
              </w:rPr>
            </w:pPr>
            <w:r w:rsidRPr="000C3766">
              <w:rPr>
                <w:b/>
                <w:bCs/>
                <w:sz w:val="24"/>
                <w:szCs w:val="24"/>
              </w:rPr>
              <w:t>Période couverte</w:t>
            </w:r>
          </w:p>
        </w:tc>
        <w:tc>
          <w:tcPr>
            <w:tcW w:w="2799" w:type="dxa"/>
            <w:tcBorders>
              <w:top w:val="single" w:sz="4" w:space="0" w:color="auto"/>
            </w:tcBorders>
            <w:shd w:val="clear" w:color="auto" w:fill="C4C6C8" w:themeFill="accent3"/>
            <w:vAlign w:val="center"/>
          </w:tcPr>
          <w:p w14:paraId="21C18428" w14:textId="77777777" w:rsidR="00716831" w:rsidRPr="000C3766" w:rsidRDefault="00716831" w:rsidP="007776D0">
            <w:pPr>
              <w:jc w:val="center"/>
              <w:rPr>
                <w:b/>
                <w:bCs/>
                <w:sz w:val="24"/>
                <w:szCs w:val="24"/>
              </w:rPr>
            </w:pPr>
            <w:r w:rsidRPr="000C3766">
              <w:rPr>
                <w:b/>
                <w:bCs/>
                <w:sz w:val="24"/>
                <w:szCs w:val="24"/>
              </w:rPr>
              <w:t>Plafond</w:t>
            </w:r>
          </w:p>
        </w:tc>
      </w:tr>
      <w:tr w:rsidR="00716831" w:rsidRPr="000C3766" w14:paraId="0C0ADD7B" w14:textId="77777777" w:rsidTr="00CC7AD3">
        <w:trPr>
          <w:trHeight w:val="1873"/>
        </w:trPr>
        <w:tc>
          <w:tcPr>
            <w:tcW w:w="2547" w:type="dxa"/>
            <w:shd w:val="clear" w:color="auto" w:fill="C4C6C8" w:themeFill="accent3"/>
            <w:vAlign w:val="center"/>
          </w:tcPr>
          <w:p w14:paraId="17CFD10A" w14:textId="77777777" w:rsidR="00716831" w:rsidRPr="000C3766" w:rsidRDefault="00716831" w:rsidP="007776D0">
            <w:pPr>
              <w:rPr>
                <w:b/>
                <w:bCs/>
                <w:sz w:val="24"/>
                <w:szCs w:val="24"/>
              </w:rPr>
            </w:pPr>
            <w:r w:rsidRPr="000C3766">
              <w:rPr>
                <w:b/>
                <w:bCs/>
                <w:sz w:val="24"/>
                <w:szCs w:val="24"/>
              </w:rPr>
              <w:t>Prime de fin d’année</w:t>
            </w:r>
          </w:p>
        </w:tc>
        <w:tc>
          <w:tcPr>
            <w:tcW w:w="3050" w:type="dxa"/>
            <w:vAlign w:val="center"/>
          </w:tcPr>
          <w:p w14:paraId="1A933A43" w14:textId="77777777" w:rsidR="00716831" w:rsidRPr="000C3766" w:rsidRDefault="00716831" w:rsidP="00716831">
            <w:pPr>
              <w:pStyle w:val="Paragraphedeliste"/>
              <w:numPr>
                <w:ilvl w:val="0"/>
                <w:numId w:val="11"/>
              </w:numPr>
              <w:snapToGrid w:val="0"/>
              <w:spacing w:before="60"/>
              <w:rPr>
                <w:rFonts w:ascii="Calibri" w:hAnsi="Calibri" w:cs="Calibri"/>
                <w:sz w:val="24"/>
                <w:szCs w:val="24"/>
              </w:rPr>
            </w:pPr>
            <w:r w:rsidRPr="000C3766">
              <w:rPr>
                <w:rFonts w:ascii="Calibri" w:hAnsi="Calibri" w:cs="Calibri"/>
                <w:sz w:val="24"/>
                <w:szCs w:val="24"/>
              </w:rPr>
              <w:t>Relevé des primes octroyées à chaque travailleur.</w:t>
            </w:r>
          </w:p>
          <w:p w14:paraId="1D2ED6B6" w14:textId="77777777" w:rsidR="00716831" w:rsidRPr="000C3766" w:rsidRDefault="00716831" w:rsidP="00716831">
            <w:pPr>
              <w:pStyle w:val="Paragraphedeliste"/>
              <w:numPr>
                <w:ilvl w:val="0"/>
                <w:numId w:val="11"/>
              </w:numPr>
              <w:rPr>
                <w:sz w:val="24"/>
                <w:szCs w:val="24"/>
              </w:rPr>
            </w:pPr>
            <w:r w:rsidRPr="000C3766">
              <w:rPr>
                <w:sz w:val="24"/>
                <w:szCs w:val="24"/>
              </w:rPr>
              <w:t>Attestation sur l’honneur (annexe 5)</w:t>
            </w:r>
          </w:p>
          <w:p w14:paraId="28EFCAB4" w14:textId="77777777" w:rsidR="00716831" w:rsidRPr="000C3766" w:rsidRDefault="00716831" w:rsidP="00716831">
            <w:pPr>
              <w:pStyle w:val="Paragraphedeliste"/>
              <w:numPr>
                <w:ilvl w:val="0"/>
                <w:numId w:val="11"/>
              </w:numPr>
              <w:rPr>
                <w:sz w:val="24"/>
                <w:szCs w:val="24"/>
              </w:rPr>
            </w:pPr>
            <w:r w:rsidRPr="000C3766">
              <w:rPr>
                <w:sz w:val="24"/>
                <w:szCs w:val="24"/>
              </w:rPr>
              <w:t>Preuves de paiement</w:t>
            </w:r>
          </w:p>
        </w:tc>
        <w:tc>
          <w:tcPr>
            <w:tcW w:w="2799" w:type="dxa"/>
            <w:vAlign w:val="center"/>
          </w:tcPr>
          <w:p w14:paraId="124012EA" w14:textId="77777777" w:rsidR="00716831" w:rsidRPr="000C3766" w:rsidRDefault="00716831" w:rsidP="00CC7AD3">
            <w:pPr>
              <w:jc w:val="center"/>
              <w:rPr>
                <w:sz w:val="24"/>
                <w:szCs w:val="24"/>
              </w:rPr>
            </w:pPr>
            <w:r w:rsidRPr="000C3766">
              <w:rPr>
                <w:sz w:val="24"/>
                <w:szCs w:val="24"/>
              </w:rPr>
              <w:t>Personnel affecté à la cohésion sociale uniquement et mentionné sur l’annexe 9</w:t>
            </w:r>
          </w:p>
        </w:tc>
        <w:tc>
          <w:tcPr>
            <w:tcW w:w="2799" w:type="dxa"/>
            <w:vAlign w:val="center"/>
          </w:tcPr>
          <w:p w14:paraId="3F226556" w14:textId="77777777" w:rsidR="00716831" w:rsidRPr="000C3766" w:rsidRDefault="00716831" w:rsidP="00CC7AD3">
            <w:pPr>
              <w:jc w:val="center"/>
              <w:rPr>
                <w:sz w:val="24"/>
                <w:szCs w:val="24"/>
              </w:rPr>
            </w:pPr>
            <w:r w:rsidRPr="000C3766">
              <w:rPr>
                <w:sz w:val="24"/>
                <w:szCs w:val="24"/>
              </w:rPr>
              <w:t>Du 1 janvier au 31 septembre 2023</w:t>
            </w:r>
          </w:p>
          <w:p w14:paraId="25967547" w14:textId="77777777" w:rsidR="00716831" w:rsidRPr="000C3766" w:rsidRDefault="00716831" w:rsidP="00CC7AD3">
            <w:pPr>
              <w:pStyle w:val="Paragraphedeliste"/>
              <w:numPr>
                <w:ilvl w:val="0"/>
                <w:numId w:val="13"/>
              </w:numPr>
              <w:jc w:val="center"/>
              <w:rPr>
                <w:sz w:val="24"/>
                <w:szCs w:val="24"/>
              </w:rPr>
            </w:pPr>
            <w:r w:rsidRPr="000C3766">
              <w:rPr>
                <w:sz w:val="24"/>
                <w:szCs w:val="24"/>
              </w:rPr>
              <w:t>Liquidée avant le 28 février 2024</w:t>
            </w:r>
          </w:p>
        </w:tc>
        <w:tc>
          <w:tcPr>
            <w:tcW w:w="2799" w:type="dxa"/>
            <w:vAlign w:val="center"/>
          </w:tcPr>
          <w:p w14:paraId="181DE0E3" w14:textId="77777777" w:rsidR="00716831" w:rsidRPr="000C3766" w:rsidRDefault="00716831" w:rsidP="00CC7AD3">
            <w:pPr>
              <w:jc w:val="center"/>
              <w:rPr>
                <w:sz w:val="24"/>
                <w:szCs w:val="24"/>
              </w:rPr>
            </w:pPr>
            <w:r w:rsidRPr="000C3766">
              <w:rPr>
                <w:sz w:val="24"/>
                <w:szCs w:val="24"/>
              </w:rPr>
              <w:t>1770 euros par ETP</w:t>
            </w:r>
          </w:p>
          <w:p w14:paraId="4D4931DE" w14:textId="77777777" w:rsidR="00716831" w:rsidRPr="000C3766" w:rsidRDefault="00716831" w:rsidP="00CC7AD3">
            <w:pPr>
              <w:pStyle w:val="Paragraphedeliste"/>
              <w:numPr>
                <w:ilvl w:val="0"/>
                <w:numId w:val="12"/>
              </w:numPr>
              <w:jc w:val="center"/>
              <w:rPr>
                <w:sz w:val="24"/>
                <w:szCs w:val="24"/>
              </w:rPr>
            </w:pPr>
            <w:proofErr w:type="gramStart"/>
            <w:r w:rsidRPr="000C3766">
              <w:rPr>
                <w:sz w:val="24"/>
                <w:szCs w:val="24"/>
              </w:rPr>
              <w:t>au</w:t>
            </w:r>
            <w:proofErr w:type="gramEnd"/>
            <w:r w:rsidRPr="000C3766">
              <w:rPr>
                <w:sz w:val="24"/>
                <w:szCs w:val="24"/>
              </w:rPr>
              <w:t xml:space="preserve"> prorata du temps de travail du 1 janvier au 30 septembre 2023</w:t>
            </w:r>
          </w:p>
        </w:tc>
      </w:tr>
      <w:tr w:rsidR="00716831" w:rsidRPr="000C3766" w14:paraId="27DA1152" w14:textId="77777777" w:rsidTr="00CC7AD3">
        <w:trPr>
          <w:trHeight w:val="978"/>
        </w:trPr>
        <w:tc>
          <w:tcPr>
            <w:tcW w:w="2547" w:type="dxa"/>
            <w:shd w:val="clear" w:color="auto" w:fill="C4C6C8" w:themeFill="accent3"/>
            <w:vAlign w:val="center"/>
          </w:tcPr>
          <w:p w14:paraId="17DF6445" w14:textId="77777777" w:rsidR="00716831" w:rsidRPr="000C3766" w:rsidRDefault="00716831" w:rsidP="007776D0">
            <w:pPr>
              <w:rPr>
                <w:b/>
                <w:bCs/>
                <w:sz w:val="24"/>
                <w:szCs w:val="24"/>
              </w:rPr>
            </w:pPr>
            <w:r w:rsidRPr="000C3766">
              <w:rPr>
                <w:b/>
                <w:bCs/>
                <w:sz w:val="24"/>
                <w:szCs w:val="24"/>
              </w:rPr>
              <w:t>Mobilité</w:t>
            </w:r>
          </w:p>
        </w:tc>
        <w:tc>
          <w:tcPr>
            <w:tcW w:w="3050" w:type="dxa"/>
            <w:vAlign w:val="center"/>
          </w:tcPr>
          <w:p w14:paraId="70166176" w14:textId="77777777" w:rsidR="00716831" w:rsidRPr="000C3766" w:rsidRDefault="00716831" w:rsidP="00716831">
            <w:pPr>
              <w:pStyle w:val="Paragraphedeliste"/>
              <w:numPr>
                <w:ilvl w:val="0"/>
                <w:numId w:val="11"/>
              </w:numPr>
              <w:rPr>
                <w:sz w:val="24"/>
                <w:szCs w:val="24"/>
              </w:rPr>
            </w:pPr>
            <w:r w:rsidRPr="000C3766">
              <w:rPr>
                <w:sz w:val="24"/>
                <w:szCs w:val="24"/>
              </w:rPr>
              <w:t>Facture d’abonnement STIB</w:t>
            </w:r>
          </w:p>
          <w:p w14:paraId="25A5E720" w14:textId="77777777" w:rsidR="00716831" w:rsidRPr="000C3766" w:rsidRDefault="00716831" w:rsidP="00716831">
            <w:pPr>
              <w:pStyle w:val="Paragraphedeliste"/>
              <w:numPr>
                <w:ilvl w:val="0"/>
                <w:numId w:val="11"/>
              </w:numPr>
              <w:rPr>
                <w:sz w:val="24"/>
                <w:szCs w:val="24"/>
              </w:rPr>
            </w:pPr>
            <w:r w:rsidRPr="000C3766">
              <w:rPr>
                <w:sz w:val="24"/>
                <w:szCs w:val="24"/>
              </w:rPr>
              <w:t>Preuve de paiement</w:t>
            </w:r>
          </w:p>
        </w:tc>
        <w:tc>
          <w:tcPr>
            <w:tcW w:w="2799" w:type="dxa"/>
            <w:vAlign w:val="center"/>
          </w:tcPr>
          <w:p w14:paraId="68A088D2" w14:textId="77777777" w:rsidR="00716831" w:rsidRPr="000C3766" w:rsidRDefault="00716831" w:rsidP="00CC7AD3">
            <w:pPr>
              <w:jc w:val="center"/>
              <w:rPr>
                <w:sz w:val="24"/>
                <w:szCs w:val="24"/>
              </w:rPr>
            </w:pPr>
            <w:r w:rsidRPr="000C3766">
              <w:rPr>
                <w:sz w:val="24"/>
                <w:szCs w:val="24"/>
              </w:rPr>
              <w:t>Personnel affecté à la cohésion sociale uniquement</w:t>
            </w:r>
          </w:p>
        </w:tc>
        <w:tc>
          <w:tcPr>
            <w:tcW w:w="2799" w:type="dxa"/>
            <w:vAlign w:val="center"/>
          </w:tcPr>
          <w:p w14:paraId="71ADC417" w14:textId="77777777" w:rsidR="00716831" w:rsidRPr="000C3766" w:rsidRDefault="00716831" w:rsidP="00CC7AD3">
            <w:pPr>
              <w:jc w:val="center"/>
              <w:rPr>
                <w:sz w:val="24"/>
                <w:szCs w:val="24"/>
              </w:rPr>
            </w:pPr>
            <w:r w:rsidRPr="000C3766">
              <w:rPr>
                <w:sz w:val="24"/>
                <w:szCs w:val="24"/>
              </w:rPr>
              <w:t>Du 1 janvier au 31 décembre 2023</w:t>
            </w:r>
          </w:p>
        </w:tc>
        <w:tc>
          <w:tcPr>
            <w:tcW w:w="2799" w:type="dxa"/>
            <w:vAlign w:val="center"/>
          </w:tcPr>
          <w:p w14:paraId="3248A476" w14:textId="19CF37A5" w:rsidR="00716831" w:rsidRPr="000C3766" w:rsidRDefault="00716831" w:rsidP="00CC7AD3">
            <w:pPr>
              <w:jc w:val="center"/>
              <w:rPr>
                <w:sz w:val="24"/>
                <w:szCs w:val="24"/>
              </w:rPr>
            </w:pPr>
            <w:r w:rsidRPr="000C3766">
              <w:rPr>
                <w:sz w:val="24"/>
                <w:szCs w:val="24"/>
              </w:rPr>
              <w:t>300 euros par ETP</w:t>
            </w:r>
            <w:r w:rsidR="00CC7AD3">
              <w:rPr>
                <w:sz w:val="24"/>
                <w:szCs w:val="24"/>
              </w:rPr>
              <w:t xml:space="preserve"> </w:t>
            </w:r>
            <w:r w:rsidR="00CC7AD3">
              <w:t>maximum</w:t>
            </w:r>
          </w:p>
        </w:tc>
      </w:tr>
    </w:tbl>
    <w:p w14:paraId="0B751617" w14:textId="77777777" w:rsidR="00716831" w:rsidRPr="00DE4B49" w:rsidRDefault="00716831" w:rsidP="00716831">
      <w:pPr>
        <w:rPr>
          <w:szCs w:val="24"/>
        </w:rPr>
      </w:pPr>
    </w:p>
    <w:sectPr w:rsidR="00716831" w:rsidRPr="00DE4B49" w:rsidSect="00716831">
      <w:headerReference w:type="default" r:id="rId12"/>
      <w:footerReference w:type="default" r:id="rId13"/>
      <w:headerReference w:type="first" r:id="rId14"/>
      <w:footerReference w:type="first" r:id="rId15"/>
      <w:type w:val="continuous"/>
      <w:pgSz w:w="16838" w:h="11906" w:orient="landscape"/>
      <w:pgMar w:top="1304" w:right="1418"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16986" w14:textId="77777777" w:rsidR="00716831" w:rsidRDefault="00716831" w:rsidP="00FB3757">
      <w:pPr>
        <w:spacing w:after="0" w:line="240" w:lineRule="auto"/>
      </w:pPr>
      <w:r>
        <w:separator/>
      </w:r>
    </w:p>
  </w:endnote>
  <w:endnote w:type="continuationSeparator" w:id="0">
    <w:p w14:paraId="7F92DBDD" w14:textId="77777777" w:rsidR="00716831" w:rsidRDefault="00716831" w:rsidP="00FB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8EEE" w14:textId="77777777" w:rsidR="008E3D6C" w:rsidRDefault="00DE4B49" w:rsidP="00714480">
    <w:pPr>
      <w:pStyle w:val="Pieddepage"/>
    </w:pPr>
    <w:r>
      <w:rPr>
        <w:noProof/>
        <w:lang w:eastAsia="fr-BE"/>
      </w:rPr>
      <w:drawing>
        <wp:anchor distT="0" distB="0" distL="114300" distR="114300" simplePos="0" relativeHeight="251657216" behindDoc="0" locked="0" layoutInCell="1" allowOverlap="1" wp14:anchorId="67FD63E8" wp14:editId="7EEE97E4">
          <wp:simplePos x="0" y="0"/>
          <wp:positionH relativeFrom="column">
            <wp:posOffset>-417195</wp:posOffset>
          </wp:positionH>
          <wp:positionV relativeFrom="paragraph">
            <wp:posOffset>-314216</wp:posOffset>
          </wp:positionV>
          <wp:extent cx="8711565" cy="921385"/>
          <wp:effectExtent l="0" t="0" r="0" b="0"/>
          <wp:wrapNone/>
          <wp:docPr id="38" name="Image 3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d-de-page-general-cocof-pays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1565" cy="921385"/>
                  </a:xfrm>
                  <a:prstGeom prst="rect">
                    <a:avLst/>
                  </a:prstGeom>
                </pic:spPr>
              </pic:pic>
            </a:graphicData>
          </a:graphic>
        </wp:anchor>
      </w:drawing>
    </w:r>
    <w:r w:rsidR="00AD6EE0">
      <w:ptab w:relativeTo="margin" w:alignment="right" w:leader="none"/>
    </w:r>
    <w:r w:rsidR="00AD6EE0">
      <w:rPr>
        <w:b/>
        <w:bCs/>
      </w:rPr>
      <w:fldChar w:fldCharType="begin"/>
    </w:r>
    <w:r w:rsidR="00AD6EE0">
      <w:rPr>
        <w:b/>
        <w:bCs/>
      </w:rPr>
      <w:instrText>PAGE  \* Arabic  \* MERGEFORMAT</w:instrText>
    </w:r>
    <w:r w:rsidR="00AD6EE0">
      <w:rPr>
        <w:b/>
        <w:bCs/>
      </w:rPr>
      <w:fldChar w:fldCharType="separate"/>
    </w:r>
    <w:r w:rsidR="0071380A" w:rsidRPr="0071380A">
      <w:rPr>
        <w:b/>
        <w:bCs/>
        <w:noProof/>
        <w:lang w:val="fr-FR"/>
      </w:rPr>
      <w:t>2</w:t>
    </w:r>
    <w:r w:rsidR="00AD6EE0">
      <w:rPr>
        <w:b/>
        <w:bCs/>
      </w:rPr>
      <w:fldChar w:fldCharType="end"/>
    </w:r>
    <w:r w:rsidR="00AD6EE0">
      <w:rPr>
        <w:lang w:val="fr-FR"/>
      </w:rPr>
      <w:t xml:space="preserve"> / </w:t>
    </w:r>
    <w:r w:rsidR="00AD6EE0">
      <w:rPr>
        <w:b/>
        <w:bCs/>
      </w:rPr>
      <w:fldChar w:fldCharType="begin"/>
    </w:r>
    <w:r w:rsidR="00AD6EE0">
      <w:rPr>
        <w:b/>
        <w:bCs/>
      </w:rPr>
      <w:instrText>NUMPAGES  \* Arabic  \* MERGEFORMAT</w:instrText>
    </w:r>
    <w:r w:rsidR="00AD6EE0">
      <w:rPr>
        <w:b/>
        <w:bCs/>
      </w:rPr>
      <w:fldChar w:fldCharType="separate"/>
    </w:r>
    <w:r w:rsidR="00B2624E" w:rsidRPr="00B2624E">
      <w:rPr>
        <w:b/>
        <w:bCs/>
        <w:noProof/>
        <w:lang w:val="fr-FR"/>
      </w:rPr>
      <w:t>1</w:t>
    </w:r>
    <w:r w:rsidR="00AD6EE0">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E573" w14:textId="77777777" w:rsidR="003452B7" w:rsidRPr="00DE4B49" w:rsidRDefault="00B2624E" w:rsidP="00DE4B49">
    <w:pPr>
      <w:pStyle w:val="Pieddepage"/>
    </w:pPr>
    <w:r>
      <w:rPr>
        <w:noProof/>
        <w:lang w:eastAsia="fr-BE"/>
      </w:rPr>
      <w:drawing>
        <wp:anchor distT="0" distB="0" distL="114300" distR="114300" simplePos="0" relativeHeight="251659264" behindDoc="0" locked="0" layoutInCell="1" allowOverlap="1" wp14:anchorId="0BEDD495" wp14:editId="3E0110B3">
          <wp:simplePos x="0" y="0"/>
          <wp:positionH relativeFrom="margin">
            <wp:align>right</wp:align>
          </wp:positionH>
          <wp:positionV relativeFrom="paragraph">
            <wp:posOffset>-127240</wp:posOffset>
          </wp:positionV>
          <wp:extent cx="8711565" cy="736998"/>
          <wp:effectExtent l="0" t="0" r="0" b="0"/>
          <wp:wrapNone/>
          <wp:docPr id="1" name="Image 1" descr="Service de la cohésion sociale&#10;Commission communautaire française&#10;www.ccf.brussels&#10;Rue des palais 42&#10;1030 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Service de la cohésion sociale&#10;Commission communautaire française&#10;www.ccf.brussels&#10;Rue des palais 42&#10;1030 Bruxelles"/>
                  <pic:cNvPicPr/>
                </pic:nvPicPr>
                <pic:blipFill>
                  <a:blip r:embed="rId1">
                    <a:extLst>
                      <a:ext uri="{28A0092B-C50C-407E-A947-70E740481C1C}">
                        <a14:useLocalDpi xmlns:a14="http://schemas.microsoft.com/office/drawing/2010/main" val="0"/>
                      </a:ext>
                    </a:extLst>
                  </a:blip>
                  <a:stretch>
                    <a:fillRect/>
                  </a:stretch>
                </pic:blipFill>
                <pic:spPr>
                  <a:xfrm>
                    <a:off x="0" y="0"/>
                    <a:ext cx="8711565" cy="73699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6B444" w14:textId="77777777" w:rsidR="00716831" w:rsidRDefault="00716831" w:rsidP="00FB3757">
      <w:pPr>
        <w:spacing w:after="0" w:line="240" w:lineRule="auto"/>
      </w:pPr>
      <w:r>
        <w:separator/>
      </w:r>
    </w:p>
  </w:footnote>
  <w:footnote w:type="continuationSeparator" w:id="0">
    <w:p w14:paraId="685DF14E" w14:textId="77777777" w:rsidR="00716831" w:rsidRDefault="00716831" w:rsidP="00FB3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96FA" w14:textId="595C50E1" w:rsidR="005D3210" w:rsidRDefault="00716831">
    <w:pPr>
      <w:pStyle w:val="En-tte"/>
    </w:pPr>
    <w:r>
      <w:rPr>
        <w:noProof/>
        <w:lang w:eastAsia="fr-BE"/>
      </w:rPr>
      <w:drawing>
        <wp:inline distT="0" distB="0" distL="0" distR="0" wp14:anchorId="4597B0DD" wp14:editId="45EA530E">
          <wp:extent cx="8711565" cy="921385"/>
          <wp:effectExtent l="0" t="0" r="0" b="0"/>
          <wp:docPr id="235281584" name="Image 235281584"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tête--cocof-paysage.png"/>
                  <pic:cNvPicPr/>
                </pic:nvPicPr>
                <pic:blipFill>
                  <a:blip r:embed="rId1">
                    <a:extLst>
                      <a:ext uri="{28A0092B-C50C-407E-A947-70E740481C1C}">
                        <a14:useLocalDpi xmlns:a14="http://schemas.microsoft.com/office/drawing/2010/main" val="0"/>
                      </a:ext>
                    </a:extLst>
                  </a:blip>
                  <a:stretch>
                    <a:fillRect/>
                  </a:stretch>
                </pic:blipFill>
                <pic:spPr>
                  <a:xfrm>
                    <a:off x="0" y="0"/>
                    <a:ext cx="8711565" cy="9213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A31D" w14:textId="77777777" w:rsidR="00DE4B49" w:rsidRDefault="00DE4B49" w:rsidP="00DE4B49">
    <w:pPr>
      <w:pStyle w:val="En-tte"/>
      <w:ind w:right="-172"/>
    </w:pPr>
    <w:r>
      <w:rPr>
        <w:noProof/>
        <w:lang w:eastAsia="fr-BE"/>
      </w:rPr>
      <w:drawing>
        <wp:inline distT="0" distB="0" distL="0" distR="0" wp14:anchorId="2245F327" wp14:editId="708DD33E">
          <wp:extent cx="8711565" cy="921385"/>
          <wp:effectExtent l="0" t="0" r="0" b="0"/>
          <wp:docPr id="39" name="Image 39"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tête--cocof-paysage.png"/>
                  <pic:cNvPicPr/>
                </pic:nvPicPr>
                <pic:blipFill>
                  <a:blip r:embed="rId1">
                    <a:extLst>
                      <a:ext uri="{28A0092B-C50C-407E-A947-70E740481C1C}">
                        <a14:useLocalDpi xmlns:a14="http://schemas.microsoft.com/office/drawing/2010/main" val="0"/>
                      </a:ext>
                    </a:extLst>
                  </a:blip>
                  <a:stretch>
                    <a:fillRect/>
                  </a:stretch>
                </pic:blipFill>
                <pic:spPr>
                  <a:xfrm>
                    <a:off x="0" y="0"/>
                    <a:ext cx="8711565" cy="921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F7E"/>
    <w:multiLevelType w:val="hybridMultilevel"/>
    <w:tmpl w:val="0774438E"/>
    <w:lvl w:ilvl="0" w:tplc="B97A275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BA056B"/>
    <w:multiLevelType w:val="hybridMultilevel"/>
    <w:tmpl w:val="0EFE6E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2B41869"/>
    <w:multiLevelType w:val="hybridMultilevel"/>
    <w:tmpl w:val="9B6C1146"/>
    <w:lvl w:ilvl="0" w:tplc="B97A275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83221EE"/>
    <w:multiLevelType w:val="hybridMultilevel"/>
    <w:tmpl w:val="BC5EF0C0"/>
    <w:lvl w:ilvl="0" w:tplc="B97A275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A0C27D5"/>
    <w:multiLevelType w:val="multilevel"/>
    <w:tmpl w:val="173243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3CCB73D5"/>
    <w:multiLevelType w:val="hybridMultilevel"/>
    <w:tmpl w:val="5080BF9C"/>
    <w:lvl w:ilvl="0" w:tplc="B97C7BF2">
      <w:start w:val="3"/>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534970861">
    <w:abstractNumId w:val="4"/>
  </w:num>
  <w:num w:numId="2" w16cid:durableId="1600942707">
    <w:abstractNumId w:val="4"/>
  </w:num>
  <w:num w:numId="3" w16cid:durableId="2556934">
    <w:abstractNumId w:val="4"/>
  </w:num>
  <w:num w:numId="4" w16cid:durableId="2097945660">
    <w:abstractNumId w:val="4"/>
  </w:num>
  <w:num w:numId="5" w16cid:durableId="872035934">
    <w:abstractNumId w:val="4"/>
  </w:num>
  <w:num w:numId="6" w16cid:durableId="1362241738">
    <w:abstractNumId w:val="4"/>
  </w:num>
  <w:num w:numId="7" w16cid:durableId="1802459426">
    <w:abstractNumId w:val="4"/>
  </w:num>
  <w:num w:numId="8" w16cid:durableId="2061248918">
    <w:abstractNumId w:val="4"/>
  </w:num>
  <w:num w:numId="9" w16cid:durableId="1541749245">
    <w:abstractNumId w:val="4"/>
  </w:num>
  <w:num w:numId="10" w16cid:durableId="167988519">
    <w:abstractNumId w:val="1"/>
  </w:num>
  <w:num w:numId="11" w16cid:durableId="1543445460">
    <w:abstractNumId w:val="5"/>
  </w:num>
  <w:num w:numId="12" w16cid:durableId="1103116185">
    <w:abstractNumId w:val="0"/>
  </w:num>
  <w:num w:numId="13" w16cid:durableId="90053611">
    <w:abstractNumId w:val="3"/>
  </w:num>
  <w:num w:numId="14" w16cid:durableId="1350989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31"/>
    <w:rsid w:val="0000234C"/>
    <w:rsid w:val="000203FB"/>
    <w:rsid w:val="00082E6C"/>
    <w:rsid w:val="00094EC5"/>
    <w:rsid w:val="000A4106"/>
    <w:rsid w:val="000B30D4"/>
    <w:rsid w:val="000C3766"/>
    <w:rsid w:val="000E7013"/>
    <w:rsid w:val="000F0973"/>
    <w:rsid w:val="000F3AD6"/>
    <w:rsid w:val="00114859"/>
    <w:rsid w:val="001379B4"/>
    <w:rsid w:val="00143C58"/>
    <w:rsid w:val="001526F9"/>
    <w:rsid w:val="00163A83"/>
    <w:rsid w:val="0018221C"/>
    <w:rsid w:val="00182915"/>
    <w:rsid w:val="001973BD"/>
    <w:rsid w:val="001B30FC"/>
    <w:rsid w:val="001F3538"/>
    <w:rsid w:val="001F57FF"/>
    <w:rsid w:val="0020390E"/>
    <w:rsid w:val="00213CBE"/>
    <w:rsid w:val="002304D7"/>
    <w:rsid w:val="0024352A"/>
    <w:rsid w:val="002572E1"/>
    <w:rsid w:val="00280443"/>
    <w:rsid w:val="00290AE9"/>
    <w:rsid w:val="002A6DA9"/>
    <w:rsid w:val="002C233A"/>
    <w:rsid w:val="002E34AB"/>
    <w:rsid w:val="002F4CBB"/>
    <w:rsid w:val="00301987"/>
    <w:rsid w:val="003452B7"/>
    <w:rsid w:val="00355E82"/>
    <w:rsid w:val="003C6E74"/>
    <w:rsid w:val="003C7EC0"/>
    <w:rsid w:val="003D7498"/>
    <w:rsid w:val="003E0475"/>
    <w:rsid w:val="003F2685"/>
    <w:rsid w:val="00455EC6"/>
    <w:rsid w:val="0046418A"/>
    <w:rsid w:val="004722FA"/>
    <w:rsid w:val="00474B8A"/>
    <w:rsid w:val="004B09B8"/>
    <w:rsid w:val="004B2B73"/>
    <w:rsid w:val="004B78D6"/>
    <w:rsid w:val="004D3C76"/>
    <w:rsid w:val="004D5232"/>
    <w:rsid w:val="00502F6B"/>
    <w:rsid w:val="0050726E"/>
    <w:rsid w:val="00511C08"/>
    <w:rsid w:val="0053320C"/>
    <w:rsid w:val="0054088B"/>
    <w:rsid w:val="005466F6"/>
    <w:rsid w:val="00553E46"/>
    <w:rsid w:val="005607C7"/>
    <w:rsid w:val="00570660"/>
    <w:rsid w:val="005B5445"/>
    <w:rsid w:val="005D3210"/>
    <w:rsid w:val="005D49CE"/>
    <w:rsid w:val="00635619"/>
    <w:rsid w:val="00645E4A"/>
    <w:rsid w:val="006538BF"/>
    <w:rsid w:val="0066155E"/>
    <w:rsid w:val="00683810"/>
    <w:rsid w:val="006963DC"/>
    <w:rsid w:val="006C288C"/>
    <w:rsid w:val="0070375A"/>
    <w:rsid w:val="0071380A"/>
    <w:rsid w:val="00714480"/>
    <w:rsid w:val="00716831"/>
    <w:rsid w:val="0072117C"/>
    <w:rsid w:val="00776126"/>
    <w:rsid w:val="007901EA"/>
    <w:rsid w:val="007A0E99"/>
    <w:rsid w:val="007A3696"/>
    <w:rsid w:val="007C759F"/>
    <w:rsid w:val="007C7D7D"/>
    <w:rsid w:val="007D2B13"/>
    <w:rsid w:val="008013E6"/>
    <w:rsid w:val="00803C11"/>
    <w:rsid w:val="00834368"/>
    <w:rsid w:val="00867ECB"/>
    <w:rsid w:val="00885F1F"/>
    <w:rsid w:val="0089453B"/>
    <w:rsid w:val="0089467D"/>
    <w:rsid w:val="008A6099"/>
    <w:rsid w:val="008D2608"/>
    <w:rsid w:val="008E3D6C"/>
    <w:rsid w:val="0091076D"/>
    <w:rsid w:val="009174A9"/>
    <w:rsid w:val="00951F81"/>
    <w:rsid w:val="009532C7"/>
    <w:rsid w:val="00955C06"/>
    <w:rsid w:val="00971BD0"/>
    <w:rsid w:val="009817EB"/>
    <w:rsid w:val="0098283D"/>
    <w:rsid w:val="009B5053"/>
    <w:rsid w:val="00A20352"/>
    <w:rsid w:val="00A2609C"/>
    <w:rsid w:val="00A36BA7"/>
    <w:rsid w:val="00A4714F"/>
    <w:rsid w:val="00A803F2"/>
    <w:rsid w:val="00AA0A75"/>
    <w:rsid w:val="00AC5C75"/>
    <w:rsid w:val="00AD24ED"/>
    <w:rsid w:val="00AD6EE0"/>
    <w:rsid w:val="00B2624E"/>
    <w:rsid w:val="00B279C8"/>
    <w:rsid w:val="00B36389"/>
    <w:rsid w:val="00B42A61"/>
    <w:rsid w:val="00B95459"/>
    <w:rsid w:val="00BA708C"/>
    <w:rsid w:val="00BD4C34"/>
    <w:rsid w:val="00BE7707"/>
    <w:rsid w:val="00C117BB"/>
    <w:rsid w:val="00C34E46"/>
    <w:rsid w:val="00C66CD9"/>
    <w:rsid w:val="00CC7AD3"/>
    <w:rsid w:val="00CF6105"/>
    <w:rsid w:val="00D15D93"/>
    <w:rsid w:val="00D6134A"/>
    <w:rsid w:val="00D741D0"/>
    <w:rsid w:val="00D923DA"/>
    <w:rsid w:val="00DB43CF"/>
    <w:rsid w:val="00DC073B"/>
    <w:rsid w:val="00DD4422"/>
    <w:rsid w:val="00DE4142"/>
    <w:rsid w:val="00DE4B49"/>
    <w:rsid w:val="00DF0ADB"/>
    <w:rsid w:val="00DF225D"/>
    <w:rsid w:val="00E12F7D"/>
    <w:rsid w:val="00E4574E"/>
    <w:rsid w:val="00E96253"/>
    <w:rsid w:val="00ED5C6B"/>
    <w:rsid w:val="00F2595A"/>
    <w:rsid w:val="00F36220"/>
    <w:rsid w:val="00F67562"/>
    <w:rsid w:val="00F70106"/>
    <w:rsid w:val="00F74229"/>
    <w:rsid w:val="00FB3757"/>
    <w:rsid w:val="00FB72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13923"/>
  <w15:chartTrackingRefBased/>
  <w15:docId w15:val="{5AC623D3-F4A6-4FF0-AFFF-4F5A8EBE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831"/>
    <w:rPr>
      <w:kern w:val="2"/>
      <w14:ligatures w14:val="standardContextual"/>
    </w:rPr>
  </w:style>
  <w:style w:type="paragraph" w:styleId="Titre1">
    <w:name w:val="heading 1"/>
    <w:basedOn w:val="Normal"/>
    <w:next w:val="Normal"/>
    <w:link w:val="Titre1Car"/>
    <w:uiPriority w:val="9"/>
    <w:qFormat/>
    <w:rsid w:val="00213CBE"/>
    <w:pPr>
      <w:keepNext/>
      <w:keepLines/>
      <w:spacing w:before="240" w:after="0"/>
      <w:outlineLvl w:val="0"/>
    </w:pPr>
    <w:rPr>
      <w:rFonts w:asciiTheme="majorHAnsi" w:eastAsiaTheme="majorEastAsia" w:hAnsiTheme="majorHAnsi" w:cstheme="majorBidi"/>
      <w:b/>
      <w:noProof/>
      <w:color w:val="0A00BE"/>
      <w:sz w:val="32"/>
      <w:szCs w:val="32"/>
    </w:rPr>
  </w:style>
  <w:style w:type="paragraph" w:styleId="Titre2">
    <w:name w:val="heading 2"/>
    <w:basedOn w:val="Normal"/>
    <w:next w:val="Normal"/>
    <w:link w:val="Titre2Car"/>
    <w:uiPriority w:val="9"/>
    <w:unhideWhenUsed/>
    <w:qFormat/>
    <w:rsid w:val="00213CBE"/>
    <w:pPr>
      <w:keepNext/>
      <w:keepLines/>
      <w:spacing w:before="40" w:after="0"/>
      <w:outlineLvl w:val="1"/>
    </w:pPr>
    <w:rPr>
      <w:rFonts w:asciiTheme="majorHAnsi" w:eastAsiaTheme="majorEastAsia" w:hAnsiTheme="majorHAnsi" w:cstheme="majorBidi"/>
      <w:b/>
      <w:color w:val="0A00BE"/>
      <w:sz w:val="26"/>
      <w:szCs w:val="26"/>
    </w:rPr>
  </w:style>
  <w:style w:type="paragraph" w:styleId="Titre3">
    <w:name w:val="heading 3"/>
    <w:basedOn w:val="Normal"/>
    <w:next w:val="Normal"/>
    <w:link w:val="Titre3Car"/>
    <w:uiPriority w:val="9"/>
    <w:unhideWhenUsed/>
    <w:qFormat/>
    <w:rsid w:val="00213CBE"/>
    <w:pPr>
      <w:keepNext/>
      <w:keepLines/>
      <w:spacing w:before="40" w:after="0"/>
      <w:outlineLvl w:val="2"/>
    </w:pPr>
    <w:rPr>
      <w:rFonts w:asciiTheme="majorHAnsi" w:eastAsiaTheme="majorEastAsia" w:hAnsiTheme="majorHAnsi" w:cstheme="majorBidi"/>
      <w:b/>
      <w:i/>
      <w:color w:val="0A00BE"/>
      <w:szCs w:val="24"/>
    </w:rPr>
  </w:style>
  <w:style w:type="paragraph" w:styleId="Titre4">
    <w:name w:val="heading 4"/>
    <w:basedOn w:val="Normal"/>
    <w:next w:val="Normal"/>
    <w:link w:val="Titre4Car"/>
    <w:uiPriority w:val="9"/>
    <w:unhideWhenUsed/>
    <w:qFormat/>
    <w:rsid w:val="00213CBE"/>
    <w:pPr>
      <w:keepNext/>
      <w:keepLines/>
      <w:spacing w:before="40" w:after="0"/>
      <w:outlineLvl w:val="3"/>
    </w:pPr>
    <w:rPr>
      <w:rFonts w:asciiTheme="majorHAnsi" w:eastAsiaTheme="majorEastAsia" w:hAnsiTheme="majorHAnsi" w:cstheme="majorBidi"/>
      <w:i/>
      <w:iCs/>
      <w:color w:val="0A00BE"/>
    </w:rPr>
  </w:style>
  <w:style w:type="paragraph" w:styleId="Titre5">
    <w:name w:val="heading 5"/>
    <w:basedOn w:val="Normal"/>
    <w:next w:val="Normal"/>
    <w:link w:val="Titre5Car"/>
    <w:uiPriority w:val="9"/>
    <w:unhideWhenUsed/>
    <w:qFormat/>
    <w:rsid w:val="00213CBE"/>
    <w:pPr>
      <w:keepNext/>
      <w:keepLines/>
      <w:spacing w:before="40" w:after="0"/>
      <w:outlineLvl w:val="4"/>
    </w:pPr>
    <w:rPr>
      <w:rFonts w:asciiTheme="majorHAnsi" w:eastAsiaTheme="majorEastAsia" w:hAnsiTheme="majorHAnsi" w:cstheme="majorBidi"/>
      <w:color w:val="0A00BE"/>
    </w:rPr>
  </w:style>
  <w:style w:type="paragraph" w:styleId="Titre6">
    <w:name w:val="heading 6"/>
    <w:basedOn w:val="Normal"/>
    <w:next w:val="Normal"/>
    <w:link w:val="Titre6Car"/>
    <w:uiPriority w:val="9"/>
    <w:unhideWhenUsed/>
    <w:rsid w:val="00213CBE"/>
    <w:pPr>
      <w:keepNext/>
      <w:keepLines/>
      <w:spacing w:before="40" w:after="0"/>
      <w:outlineLvl w:val="5"/>
    </w:pPr>
    <w:rPr>
      <w:rFonts w:asciiTheme="majorHAnsi" w:eastAsiaTheme="majorEastAsia" w:hAnsiTheme="majorHAnsi" w:cstheme="majorBidi"/>
      <w:color w:val="0A00BE"/>
    </w:rPr>
  </w:style>
  <w:style w:type="paragraph" w:styleId="Titre7">
    <w:name w:val="heading 7"/>
    <w:basedOn w:val="Normal"/>
    <w:next w:val="Normal"/>
    <w:link w:val="Titre7Car"/>
    <w:uiPriority w:val="9"/>
    <w:semiHidden/>
    <w:unhideWhenUsed/>
    <w:rsid w:val="00ED5C6B"/>
    <w:pPr>
      <w:keepNext/>
      <w:keepLines/>
      <w:numPr>
        <w:ilvl w:val="6"/>
        <w:numId w:val="9"/>
      </w:numPr>
      <w:spacing w:before="40" w:after="0"/>
      <w:outlineLvl w:val="6"/>
    </w:pPr>
    <w:rPr>
      <w:rFonts w:asciiTheme="majorHAnsi" w:eastAsiaTheme="majorEastAsia" w:hAnsiTheme="majorHAnsi" w:cstheme="majorBidi"/>
      <w:i/>
      <w:iCs/>
      <w:color w:val="04005E" w:themeColor="accent1" w:themeShade="7F"/>
    </w:rPr>
  </w:style>
  <w:style w:type="paragraph" w:styleId="Titre8">
    <w:name w:val="heading 8"/>
    <w:basedOn w:val="Normal"/>
    <w:next w:val="Normal"/>
    <w:link w:val="Titre8Car"/>
    <w:uiPriority w:val="9"/>
    <w:semiHidden/>
    <w:unhideWhenUsed/>
    <w:qFormat/>
    <w:rsid w:val="00ED5C6B"/>
    <w:pPr>
      <w:keepNext/>
      <w:keepLines/>
      <w:numPr>
        <w:ilvl w:val="7"/>
        <w:numId w:val="9"/>
      </w:numPr>
      <w:spacing w:before="40" w:after="0"/>
      <w:outlineLvl w:val="7"/>
    </w:pPr>
    <w:rPr>
      <w:rFonts w:asciiTheme="majorHAnsi" w:eastAsiaTheme="majorEastAsia" w:hAnsiTheme="majorHAnsi" w:cstheme="majorBidi"/>
      <w:color w:val="2451BE" w:themeColor="text1" w:themeTint="D8"/>
      <w:sz w:val="21"/>
      <w:szCs w:val="21"/>
    </w:rPr>
  </w:style>
  <w:style w:type="paragraph" w:styleId="Titre9">
    <w:name w:val="heading 9"/>
    <w:basedOn w:val="Normal"/>
    <w:next w:val="Normal"/>
    <w:link w:val="Titre9Car"/>
    <w:uiPriority w:val="9"/>
    <w:semiHidden/>
    <w:unhideWhenUsed/>
    <w:qFormat/>
    <w:rsid w:val="00ED5C6B"/>
    <w:pPr>
      <w:keepNext/>
      <w:keepLines/>
      <w:numPr>
        <w:ilvl w:val="8"/>
        <w:numId w:val="1"/>
      </w:numPr>
      <w:spacing w:before="40" w:after="0"/>
      <w:outlineLvl w:val="8"/>
    </w:pPr>
    <w:rPr>
      <w:rFonts w:asciiTheme="majorHAnsi" w:eastAsiaTheme="majorEastAsia" w:hAnsiTheme="majorHAnsi" w:cstheme="majorBidi"/>
      <w:i/>
      <w:iCs/>
      <w:color w:val="2451BE"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3757"/>
    <w:pPr>
      <w:tabs>
        <w:tab w:val="center" w:pos="4536"/>
        <w:tab w:val="right" w:pos="9072"/>
      </w:tabs>
      <w:spacing w:after="0" w:line="240" w:lineRule="auto"/>
    </w:pPr>
  </w:style>
  <w:style w:type="character" w:customStyle="1" w:styleId="En-tteCar">
    <w:name w:val="En-tête Car"/>
    <w:basedOn w:val="Policepardfaut"/>
    <w:link w:val="En-tte"/>
    <w:uiPriority w:val="99"/>
    <w:rsid w:val="00FB3757"/>
  </w:style>
  <w:style w:type="paragraph" w:styleId="Pieddepage">
    <w:name w:val="footer"/>
    <w:basedOn w:val="Normal"/>
    <w:link w:val="PieddepageCar"/>
    <w:uiPriority w:val="99"/>
    <w:unhideWhenUsed/>
    <w:rsid w:val="00DD44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4422"/>
    <w:rPr>
      <w:sz w:val="24"/>
    </w:rPr>
  </w:style>
  <w:style w:type="paragraph" w:styleId="Textedebulles">
    <w:name w:val="Balloon Text"/>
    <w:basedOn w:val="Normal"/>
    <w:link w:val="TextedebullesCar"/>
    <w:uiPriority w:val="99"/>
    <w:semiHidden/>
    <w:unhideWhenUsed/>
    <w:rsid w:val="00E457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574E"/>
    <w:rPr>
      <w:rFonts w:ascii="Segoe UI" w:hAnsi="Segoe UI" w:cs="Segoe UI"/>
      <w:sz w:val="18"/>
      <w:szCs w:val="18"/>
    </w:rPr>
  </w:style>
  <w:style w:type="paragraph" w:styleId="Sansinterligne">
    <w:name w:val="No Spacing"/>
    <w:uiPriority w:val="1"/>
    <w:qFormat/>
    <w:rsid w:val="00ED5C6B"/>
    <w:pPr>
      <w:spacing w:after="0" w:line="240" w:lineRule="auto"/>
    </w:pPr>
  </w:style>
  <w:style w:type="character" w:customStyle="1" w:styleId="Titre1Car">
    <w:name w:val="Titre 1 Car"/>
    <w:basedOn w:val="Policepardfaut"/>
    <w:link w:val="Titre1"/>
    <w:uiPriority w:val="9"/>
    <w:rsid w:val="00213CBE"/>
    <w:rPr>
      <w:rFonts w:asciiTheme="majorHAnsi" w:eastAsiaTheme="majorEastAsia" w:hAnsiTheme="majorHAnsi" w:cstheme="majorBidi"/>
      <w:b/>
      <w:noProof/>
      <w:color w:val="0A00BE"/>
      <w:sz w:val="32"/>
      <w:szCs w:val="32"/>
    </w:rPr>
  </w:style>
  <w:style w:type="character" w:customStyle="1" w:styleId="Titre2Car">
    <w:name w:val="Titre 2 Car"/>
    <w:basedOn w:val="Policepardfaut"/>
    <w:link w:val="Titre2"/>
    <w:uiPriority w:val="9"/>
    <w:rsid w:val="00213CBE"/>
    <w:rPr>
      <w:rFonts w:asciiTheme="majorHAnsi" w:eastAsiaTheme="majorEastAsia" w:hAnsiTheme="majorHAnsi" w:cstheme="majorBidi"/>
      <w:b/>
      <w:color w:val="0A00BE"/>
      <w:sz w:val="26"/>
      <w:szCs w:val="26"/>
    </w:rPr>
  </w:style>
  <w:style w:type="character" w:customStyle="1" w:styleId="Titre3Car">
    <w:name w:val="Titre 3 Car"/>
    <w:basedOn w:val="Policepardfaut"/>
    <w:link w:val="Titre3"/>
    <w:uiPriority w:val="9"/>
    <w:rsid w:val="00213CBE"/>
    <w:rPr>
      <w:rFonts w:asciiTheme="majorHAnsi" w:eastAsiaTheme="majorEastAsia" w:hAnsiTheme="majorHAnsi" w:cstheme="majorBidi"/>
      <w:b/>
      <w:i/>
      <w:color w:val="0A00BE"/>
      <w:sz w:val="24"/>
      <w:szCs w:val="24"/>
    </w:rPr>
  </w:style>
  <w:style w:type="character" w:customStyle="1" w:styleId="Titre4Car">
    <w:name w:val="Titre 4 Car"/>
    <w:basedOn w:val="Policepardfaut"/>
    <w:link w:val="Titre4"/>
    <w:uiPriority w:val="9"/>
    <w:rsid w:val="00213CBE"/>
    <w:rPr>
      <w:rFonts w:asciiTheme="majorHAnsi" w:eastAsiaTheme="majorEastAsia" w:hAnsiTheme="majorHAnsi" w:cstheme="majorBidi"/>
      <w:i/>
      <w:iCs/>
      <w:color w:val="0A00BE"/>
    </w:rPr>
  </w:style>
  <w:style w:type="character" w:customStyle="1" w:styleId="Titre5Car">
    <w:name w:val="Titre 5 Car"/>
    <w:basedOn w:val="Policepardfaut"/>
    <w:link w:val="Titre5"/>
    <w:uiPriority w:val="9"/>
    <w:rsid w:val="00213CBE"/>
    <w:rPr>
      <w:rFonts w:asciiTheme="majorHAnsi" w:eastAsiaTheme="majorEastAsia" w:hAnsiTheme="majorHAnsi" w:cstheme="majorBidi"/>
      <w:color w:val="0A00BE"/>
    </w:rPr>
  </w:style>
  <w:style w:type="character" w:customStyle="1" w:styleId="Titre6Car">
    <w:name w:val="Titre 6 Car"/>
    <w:basedOn w:val="Policepardfaut"/>
    <w:link w:val="Titre6"/>
    <w:uiPriority w:val="9"/>
    <w:rsid w:val="00213CBE"/>
    <w:rPr>
      <w:rFonts w:asciiTheme="majorHAnsi" w:eastAsiaTheme="majorEastAsia" w:hAnsiTheme="majorHAnsi" w:cstheme="majorBidi"/>
      <w:color w:val="0A00BE"/>
    </w:rPr>
  </w:style>
  <w:style w:type="character" w:customStyle="1" w:styleId="Titre7Car">
    <w:name w:val="Titre 7 Car"/>
    <w:basedOn w:val="Policepardfaut"/>
    <w:link w:val="Titre7"/>
    <w:uiPriority w:val="9"/>
    <w:semiHidden/>
    <w:rsid w:val="00ED5C6B"/>
    <w:rPr>
      <w:rFonts w:asciiTheme="majorHAnsi" w:eastAsiaTheme="majorEastAsia" w:hAnsiTheme="majorHAnsi" w:cstheme="majorBidi"/>
      <w:i/>
      <w:iCs/>
      <w:color w:val="04005E" w:themeColor="accent1" w:themeShade="7F"/>
    </w:rPr>
  </w:style>
  <w:style w:type="character" w:customStyle="1" w:styleId="Titre8Car">
    <w:name w:val="Titre 8 Car"/>
    <w:basedOn w:val="Policepardfaut"/>
    <w:link w:val="Titre8"/>
    <w:uiPriority w:val="9"/>
    <w:semiHidden/>
    <w:rsid w:val="00ED5C6B"/>
    <w:rPr>
      <w:rFonts w:asciiTheme="majorHAnsi" w:eastAsiaTheme="majorEastAsia" w:hAnsiTheme="majorHAnsi" w:cstheme="majorBidi"/>
      <w:color w:val="2451BE" w:themeColor="text1" w:themeTint="D8"/>
      <w:sz w:val="21"/>
      <w:szCs w:val="21"/>
    </w:rPr>
  </w:style>
  <w:style w:type="character" w:customStyle="1" w:styleId="Titre9Car">
    <w:name w:val="Titre 9 Car"/>
    <w:basedOn w:val="Policepardfaut"/>
    <w:link w:val="Titre9"/>
    <w:uiPriority w:val="9"/>
    <w:semiHidden/>
    <w:rsid w:val="00ED5C6B"/>
    <w:rPr>
      <w:rFonts w:asciiTheme="majorHAnsi" w:eastAsiaTheme="majorEastAsia" w:hAnsiTheme="majorHAnsi" w:cstheme="majorBidi"/>
      <w:i/>
      <w:iCs/>
      <w:color w:val="2451BE" w:themeColor="text1" w:themeTint="D8"/>
      <w:sz w:val="21"/>
      <w:szCs w:val="21"/>
    </w:rPr>
  </w:style>
  <w:style w:type="paragraph" w:styleId="Titre">
    <w:name w:val="Title"/>
    <w:basedOn w:val="Normal"/>
    <w:next w:val="Normal"/>
    <w:link w:val="TitreCar"/>
    <w:uiPriority w:val="10"/>
    <w:qFormat/>
    <w:rsid w:val="00213CBE"/>
    <w:pPr>
      <w:spacing w:after="0" w:line="240" w:lineRule="auto"/>
      <w:contextualSpacing/>
    </w:pPr>
    <w:rPr>
      <w:rFonts w:asciiTheme="majorHAnsi" w:eastAsiaTheme="majorEastAsia" w:hAnsiTheme="majorHAnsi" w:cstheme="majorBidi"/>
      <w:b/>
      <w:noProof/>
      <w:color w:val="0A00BE"/>
      <w:spacing w:val="-10"/>
      <w:kern w:val="28"/>
      <w:sz w:val="48"/>
      <w:szCs w:val="56"/>
    </w:rPr>
  </w:style>
  <w:style w:type="character" w:customStyle="1" w:styleId="TitreCar">
    <w:name w:val="Titre Car"/>
    <w:basedOn w:val="Policepardfaut"/>
    <w:link w:val="Titre"/>
    <w:uiPriority w:val="10"/>
    <w:rsid w:val="00213CBE"/>
    <w:rPr>
      <w:rFonts w:asciiTheme="majorHAnsi" w:eastAsiaTheme="majorEastAsia" w:hAnsiTheme="majorHAnsi" w:cstheme="majorBidi"/>
      <w:b/>
      <w:noProof/>
      <w:color w:val="0A00BE"/>
      <w:spacing w:val="-10"/>
      <w:kern w:val="28"/>
      <w:sz w:val="48"/>
      <w:szCs w:val="56"/>
    </w:rPr>
  </w:style>
  <w:style w:type="character" w:styleId="Accentuation">
    <w:name w:val="Emphasis"/>
    <w:basedOn w:val="Policepardfaut"/>
    <w:uiPriority w:val="20"/>
    <w:qFormat/>
    <w:rsid w:val="00DF225D"/>
    <w:rPr>
      <w:i/>
      <w:iCs/>
      <w:color w:val="E31837"/>
    </w:rPr>
  </w:style>
  <w:style w:type="paragraph" w:styleId="Paragraphedeliste">
    <w:name w:val="List Paragraph"/>
    <w:basedOn w:val="Normal"/>
    <w:uiPriority w:val="34"/>
    <w:qFormat/>
    <w:rsid w:val="00ED5C6B"/>
    <w:pPr>
      <w:ind w:left="720"/>
      <w:contextualSpacing/>
    </w:pPr>
  </w:style>
  <w:style w:type="character" w:styleId="Rfrenceintense">
    <w:name w:val="Intense Reference"/>
    <w:basedOn w:val="Policepardfaut"/>
    <w:uiPriority w:val="32"/>
    <w:qFormat/>
    <w:rsid w:val="00DF225D"/>
    <w:rPr>
      <w:b/>
      <w:bCs/>
      <w:smallCaps/>
      <w:color w:val="E31837"/>
      <w:spacing w:val="5"/>
    </w:rPr>
  </w:style>
  <w:style w:type="character" w:styleId="Accentuationintense">
    <w:name w:val="Intense Emphasis"/>
    <w:basedOn w:val="Policepardfaut"/>
    <w:uiPriority w:val="21"/>
    <w:qFormat/>
    <w:rsid w:val="00DF225D"/>
    <w:rPr>
      <w:i/>
      <w:iCs/>
      <w:color w:val="1C3F94"/>
    </w:rPr>
  </w:style>
  <w:style w:type="paragraph" w:styleId="Citationintense">
    <w:name w:val="Intense Quote"/>
    <w:basedOn w:val="Normal"/>
    <w:next w:val="Normal"/>
    <w:link w:val="CitationintenseCar"/>
    <w:uiPriority w:val="30"/>
    <w:qFormat/>
    <w:rsid w:val="00DF225D"/>
    <w:pPr>
      <w:pBdr>
        <w:top w:val="single" w:sz="4" w:space="10" w:color="0A00BE" w:themeColor="accent1"/>
        <w:bottom w:val="single" w:sz="4" w:space="10" w:color="0A00BE" w:themeColor="accent1"/>
      </w:pBdr>
      <w:spacing w:before="360" w:after="360"/>
      <w:ind w:left="864" w:right="864"/>
      <w:jc w:val="center"/>
    </w:pPr>
    <w:rPr>
      <w:i/>
      <w:iCs/>
      <w:color w:val="1C3F94"/>
    </w:rPr>
  </w:style>
  <w:style w:type="character" w:customStyle="1" w:styleId="CitationintenseCar">
    <w:name w:val="Citation intense Car"/>
    <w:basedOn w:val="Policepardfaut"/>
    <w:link w:val="Citationintense"/>
    <w:uiPriority w:val="30"/>
    <w:rsid w:val="00DF225D"/>
    <w:rPr>
      <w:i/>
      <w:iCs/>
      <w:color w:val="1C3F94"/>
    </w:rPr>
  </w:style>
  <w:style w:type="table" w:styleId="Grilledutableau">
    <w:name w:val="Table Grid"/>
    <w:basedOn w:val="TableauNormal"/>
    <w:uiPriority w:val="39"/>
    <w:rsid w:val="0071683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16831"/>
    <w:rPr>
      <w:color w:val="0563C1" w:themeColor="hyperlink"/>
      <w:u w:val="single"/>
    </w:rPr>
  </w:style>
  <w:style w:type="character" w:customStyle="1" w:styleId="eop">
    <w:name w:val="eop"/>
    <w:basedOn w:val="Policepardfaut"/>
    <w:rsid w:val="00716831"/>
  </w:style>
  <w:style w:type="character" w:customStyle="1" w:styleId="normaltextrun">
    <w:name w:val="normaltextrun"/>
    <w:basedOn w:val="Policepardfaut"/>
    <w:rsid w:val="00716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tonon@spfb.brussel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vroede\Desktop\Service%20de%20la%20coh&#233;sion%20social%20paysage%20MAJ.dotx" TargetMode="External"/></Relationships>
</file>

<file path=word/theme/theme1.xml><?xml version="1.0" encoding="utf-8"?>
<a:theme xmlns:a="http://schemas.openxmlformats.org/drawingml/2006/main" name="Thème Office">
  <a:themeElements>
    <a:clrScheme name="palette Cocof">
      <a:dk1>
        <a:srgbClr val="1C3F94"/>
      </a:dk1>
      <a:lt1>
        <a:srgbClr val="8EA9E9"/>
      </a:lt1>
      <a:dk2>
        <a:srgbClr val="44546A"/>
      </a:dk2>
      <a:lt2>
        <a:srgbClr val="C4C6C8"/>
      </a:lt2>
      <a:accent1>
        <a:srgbClr val="0A00BE"/>
      </a:accent1>
      <a:accent2>
        <a:srgbClr val="C00000"/>
      </a:accent2>
      <a:accent3>
        <a:srgbClr val="C4C6C8"/>
      </a:accent3>
      <a:accent4>
        <a:srgbClr val="FCEE25"/>
      </a:accent4>
      <a:accent5>
        <a:srgbClr val="6699FF"/>
      </a:accent5>
      <a:accent6>
        <a:srgbClr val="931B1B"/>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3c8adb6-3622-4d41-a02f-49e3f1a99858" xsi:nil="true"/>
    <lcf76f155ced4ddcb4097134ff3c332f xmlns="fde0f8c2-5b38-43e6-9b75-4c8d5d4e7436">
      <Terms xmlns="http://schemas.microsoft.com/office/infopath/2007/PartnerControls"/>
    </lcf76f155ced4ddcb4097134ff3c332f>
    <Contact xmlns="fde0f8c2-5b38-43e6-9b75-4c8d5d4e7436"/>
    <Cat_x00e9_gorie xmlns="fde0f8c2-5b38-43e6-9b75-4c8d5d4e7436"/>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852AA6B1CD5494BB1154FD8CE60EABD" ma:contentTypeVersion="19" ma:contentTypeDescription="Crée un document." ma:contentTypeScope="" ma:versionID="6de7608e3828f066fb2dca9e9da2b253">
  <xsd:schema xmlns:xsd="http://www.w3.org/2001/XMLSchema" xmlns:xs="http://www.w3.org/2001/XMLSchema" xmlns:p="http://schemas.microsoft.com/office/2006/metadata/properties" xmlns:ns2="fde0f8c2-5b38-43e6-9b75-4c8d5d4e7436" xmlns:ns3="f3c8adb6-3622-4d41-a02f-49e3f1a99858" targetNamespace="http://schemas.microsoft.com/office/2006/metadata/properties" ma:root="true" ma:fieldsID="3bef8fe6a0141f32661a0af8a8160944" ns2:_="" ns3:_="">
    <xsd:import namespace="fde0f8c2-5b38-43e6-9b75-4c8d5d4e7436"/>
    <xsd:import namespace="f3c8adb6-3622-4d41-a02f-49e3f1a99858"/>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element ref="ns2:Cat_x00e9_gorie" minOccurs="0"/>
                <xsd:element ref="ns2:Contac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0f8c2-5b38-43e6-9b75-4c8d5d4e7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33017c1c-8121-4850-b8c6-20700954af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at_x00e9_gorie" ma:index="25" nillable="true" ma:displayName="Catégorie" ma:format="Dropdown" ma:internalName="Cat_x00e9_gorie" ma:requiredMultiChoice="true">
      <xsd:complexType>
        <xsd:complexContent>
          <xsd:extension base="dms:MultiChoice">
            <xsd:sequence>
              <xsd:element name="Value" maxOccurs="unbounded" minOccurs="0" nillable="true">
                <xsd:simpleType>
                  <xsd:restriction base="dms:Choice">
                    <xsd:enumeration value="Métier"/>
                    <xsd:enumeration value="Organisation et Support"/>
                    <xsd:enumeration value="RH"/>
                    <xsd:enumeration value="IT"/>
                    <xsd:enumeration value="Autre"/>
                  </xsd:restriction>
                </xsd:simpleType>
              </xsd:element>
            </xsd:sequence>
          </xsd:extension>
        </xsd:complexContent>
      </xsd:complexType>
    </xsd:element>
    <xsd:element name="Contact" ma:index="26" ma:displayName="Contact" ma:description="&quot;Initiale + NOM en lettres capitales - Numéro extension de la personne&quot; vers qui se tourner pour plus d'informations" ma:format="Dropdown" ma:internalName="Conta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c8adb6-3622-4d41-a02f-49e3f1a99858"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9556d980-f6fe-47fc-88ff-33d9c718c609}" ma:internalName="TaxCatchAll" ma:showField="CatchAllData" ma:web="f3c8adb6-3622-4d41-a02f-49e3f1a9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FECB58-A74B-4C1B-8108-8CC01D861483}">
  <ds:schemaRefs>
    <ds:schemaRef ds:uri="http://schemas.microsoft.com/sharepoint/v3/contenttype/forms"/>
  </ds:schemaRefs>
</ds:datastoreItem>
</file>

<file path=customXml/itemProps2.xml><?xml version="1.0" encoding="utf-8"?>
<ds:datastoreItem xmlns:ds="http://schemas.openxmlformats.org/officeDocument/2006/customXml" ds:itemID="{1ABB283C-07B4-411D-928B-DB3AB8646ED1}">
  <ds:schemaRefs>
    <ds:schemaRef ds:uri="http://schemas.microsoft.com/office/2006/metadata/properties"/>
    <ds:schemaRef ds:uri="http://schemas.microsoft.com/office/infopath/2007/PartnerControls"/>
    <ds:schemaRef ds:uri="f3c8adb6-3622-4d41-a02f-49e3f1a99858"/>
    <ds:schemaRef ds:uri="fde0f8c2-5b38-43e6-9b75-4c8d5d4e7436"/>
  </ds:schemaRefs>
</ds:datastoreItem>
</file>

<file path=customXml/itemProps3.xml><?xml version="1.0" encoding="utf-8"?>
<ds:datastoreItem xmlns:ds="http://schemas.openxmlformats.org/officeDocument/2006/customXml" ds:itemID="{91D91E73-509E-42E5-B2DF-BC5E86EBDBE0}">
  <ds:schemaRefs>
    <ds:schemaRef ds:uri="http://schemas.openxmlformats.org/officeDocument/2006/bibliography"/>
  </ds:schemaRefs>
</ds:datastoreItem>
</file>

<file path=customXml/itemProps4.xml><?xml version="1.0" encoding="utf-8"?>
<ds:datastoreItem xmlns:ds="http://schemas.openxmlformats.org/officeDocument/2006/customXml" ds:itemID="{F7A072E0-3DF9-43FA-A34D-1041FE39A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0f8c2-5b38-43e6-9b75-4c8d5d4e7436"/>
    <ds:schemaRef ds:uri="f3c8adb6-3622-4d41-a02f-49e3f1a9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Service de la cohésion social paysage MAJ.dotx</Template>
  <TotalTime>53</TotalTime>
  <Pages>4</Pages>
  <Words>1014</Words>
  <Characters>5583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DEVROEDE</dc:creator>
  <cp:keywords/>
  <dc:description/>
  <cp:lastModifiedBy>Gaëtan TONON</cp:lastModifiedBy>
  <cp:revision>4</cp:revision>
  <cp:lastPrinted>2021-04-14T13:35:00Z</cp:lastPrinted>
  <dcterms:created xsi:type="dcterms:W3CDTF">2023-12-06T13:46:00Z</dcterms:created>
  <dcterms:modified xsi:type="dcterms:W3CDTF">2023-12-20T11:15:00Z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0x010100E852AA6B1CD5494BB1154FD8CE60EABD</vt:lpwstr>
  </property>
</Properties>
</file>